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5BCCE1" w14:textId="77777777" w:rsidR="004C0CA5" w:rsidRPr="00CB052C" w:rsidRDefault="00B33481" w:rsidP="00B33481">
      <w:pPr>
        <w:rPr>
          <w:b/>
          <w:sz w:val="28"/>
          <w:szCs w:val="20"/>
        </w:rPr>
      </w:pPr>
      <w:r>
        <w:rPr>
          <w:b/>
          <w:sz w:val="28"/>
          <w:szCs w:val="20"/>
        </w:rPr>
        <w:t>F</w:t>
      </w:r>
      <w:r w:rsidR="004C0CA5" w:rsidRPr="00CB052C">
        <w:rPr>
          <w:b/>
          <w:sz w:val="28"/>
          <w:szCs w:val="20"/>
        </w:rPr>
        <w:t xml:space="preserve">railty </w:t>
      </w:r>
      <w:r w:rsidR="009A6B37">
        <w:rPr>
          <w:b/>
          <w:sz w:val="28"/>
          <w:szCs w:val="20"/>
        </w:rPr>
        <w:t>A</w:t>
      </w:r>
      <w:r w:rsidR="004C0CA5" w:rsidRPr="00CB052C">
        <w:rPr>
          <w:b/>
          <w:sz w:val="28"/>
          <w:szCs w:val="20"/>
        </w:rPr>
        <w:t xml:space="preserve">ssessment in </w:t>
      </w:r>
      <w:r w:rsidR="009A6B37">
        <w:rPr>
          <w:b/>
          <w:sz w:val="28"/>
          <w:szCs w:val="20"/>
        </w:rPr>
        <w:t>M</w:t>
      </w:r>
      <w:r w:rsidR="004C0CA5" w:rsidRPr="00CB052C">
        <w:rPr>
          <w:b/>
          <w:sz w:val="28"/>
          <w:szCs w:val="20"/>
        </w:rPr>
        <w:t xml:space="preserve">ultiple </w:t>
      </w:r>
      <w:r w:rsidR="009A6B37">
        <w:rPr>
          <w:b/>
          <w:sz w:val="28"/>
          <w:szCs w:val="20"/>
        </w:rPr>
        <w:t>M</w:t>
      </w:r>
      <w:r w:rsidR="004C0CA5" w:rsidRPr="00CB052C">
        <w:rPr>
          <w:b/>
          <w:sz w:val="28"/>
          <w:szCs w:val="20"/>
        </w:rPr>
        <w:t>yeloma</w:t>
      </w:r>
    </w:p>
    <w:p w14:paraId="6ACFC63A" w14:textId="77777777" w:rsidR="00353E17" w:rsidRPr="003B6DCA" w:rsidRDefault="00353E17" w:rsidP="00353E17">
      <w:pPr>
        <w:spacing w:after="0" w:line="276" w:lineRule="auto"/>
        <w:rPr>
          <w:b/>
          <w:bCs/>
          <w:sz w:val="24"/>
          <w:szCs w:val="20"/>
        </w:rPr>
      </w:pPr>
      <w:r w:rsidRPr="003B6DCA">
        <w:rPr>
          <w:b/>
          <w:bCs/>
          <w:sz w:val="24"/>
          <w:szCs w:val="20"/>
        </w:rPr>
        <w:t>Findings from a recent inquiry</w:t>
      </w:r>
    </w:p>
    <w:p w14:paraId="3FF48DE4" w14:textId="77777777" w:rsidR="003B6DCA" w:rsidRDefault="003B6DCA" w:rsidP="00353E17">
      <w:pPr>
        <w:spacing w:after="0" w:line="276" w:lineRule="auto"/>
        <w:rPr>
          <w:b/>
          <w:bCs/>
          <w:sz w:val="20"/>
          <w:szCs w:val="20"/>
        </w:rPr>
      </w:pPr>
    </w:p>
    <w:p w14:paraId="23F4302F" w14:textId="77777777" w:rsidR="00353E17" w:rsidRPr="008B45BF" w:rsidRDefault="00353E17" w:rsidP="00353E17">
      <w:pPr>
        <w:spacing w:after="0" w:line="276" w:lineRule="auto"/>
        <w:rPr>
          <w:bCs/>
          <w:sz w:val="20"/>
          <w:szCs w:val="20"/>
        </w:rPr>
      </w:pPr>
      <w:r w:rsidRPr="003B6DCA">
        <w:rPr>
          <w:b/>
          <w:bCs/>
          <w:sz w:val="20"/>
          <w:szCs w:val="20"/>
        </w:rPr>
        <w:t>Alicia Snowden</w:t>
      </w:r>
      <w:r w:rsidR="003B6DCA" w:rsidRPr="003B6DCA">
        <w:rPr>
          <w:b/>
          <w:bCs/>
          <w:sz w:val="20"/>
          <w:szCs w:val="20"/>
          <w:vertAlign w:val="superscript"/>
        </w:rPr>
        <w:t>1</w:t>
      </w:r>
      <w:r w:rsidR="003B6DCA" w:rsidRPr="003B6DCA">
        <w:rPr>
          <w:b/>
          <w:bCs/>
          <w:sz w:val="20"/>
          <w:szCs w:val="20"/>
        </w:rPr>
        <w:t xml:space="preserve"> and Tracy King</w:t>
      </w:r>
      <w:r w:rsidR="003B6DCA" w:rsidRPr="003B6DCA">
        <w:rPr>
          <w:b/>
          <w:bCs/>
          <w:sz w:val="20"/>
          <w:szCs w:val="20"/>
          <w:vertAlign w:val="superscript"/>
        </w:rPr>
        <w:t>2</w:t>
      </w:r>
      <w:r w:rsidR="00AC5A30">
        <w:rPr>
          <w:bCs/>
          <w:sz w:val="20"/>
          <w:szCs w:val="20"/>
        </w:rPr>
        <w:t xml:space="preserve">   </w:t>
      </w:r>
    </w:p>
    <w:p w14:paraId="69E93212" w14:textId="77777777" w:rsidR="003B6DCA" w:rsidRPr="003B6DCA" w:rsidRDefault="003B6DCA" w:rsidP="003B6DCA">
      <w:pPr>
        <w:spacing w:after="0" w:line="276" w:lineRule="auto"/>
        <w:rPr>
          <w:bCs/>
          <w:i/>
          <w:iCs/>
          <w:sz w:val="18"/>
          <w:szCs w:val="20"/>
        </w:rPr>
      </w:pPr>
      <w:r w:rsidRPr="003B6DCA">
        <w:rPr>
          <w:bCs/>
          <w:iCs/>
          <w:sz w:val="18"/>
          <w:szCs w:val="20"/>
          <w:vertAlign w:val="superscript"/>
        </w:rPr>
        <w:t>1</w:t>
      </w:r>
      <w:r w:rsidR="00D42FBE" w:rsidRPr="003B6DCA">
        <w:rPr>
          <w:bCs/>
          <w:i/>
          <w:iCs/>
          <w:sz w:val="18"/>
          <w:szCs w:val="20"/>
        </w:rPr>
        <w:t>Haematology Nurse Consultant, Precision Haematology</w:t>
      </w:r>
      <w:r w:rsidR="005E072F" w:rsidRPr="003B6DCA">
        <w:rPr>
          <w:bCs/>
          <w:i/>
          <w:iCs/>
          <w:sz w:val="18"/>
          <w:szCs w:val="20"/>
        </w:rPr>
        <w:t xml:space="preserve">, </w:t>
      </w:r>
      <w:r w:rsidR="001A49E0">
        <w:rPr>
          <w:bCs/>
          <w:i/>
          <w:iCs/>
          <w:sz w:val="18"/>
          <w:szCs w:val="20"/>
        </w:rPr>
        <w:t>East Melbourne.</w:t>
      </w:r>
    </w:p>
    <w:p w14:paraId="3232C2D1" w14:textId="77777777" w:rsidR="00353E17" w:rsidRPr="003B6DCA" w:rsidRDefault="003B6DCA" w:rsidP="003B6DCA">
      <w:pPr>
        <w:spacing w:after="0"/>
        <w:rPr>
          <w:rFonts w:ascii="Calibri" w:hAnsi="Calibri" w:cs="Calibri"/>
          <w:i/>
          <w:sz w:val="18"/>
          <w:szCs w:val="20"/>
        </w:rPr>
      </w:pPr>
      <w:r w:rsidRPr="003B6DCA">
        <w:rPr>
          <w:bCs/>
          <w:iCs/>
          <w:sz w:val="18"/>
          <w:szCs w:val="20"/>
          <w:vertAlign w:val="superscript"/>
        </w:rPr>
        <w:t xml:space="preserve">2 </w:t>
      </w:r>
      <w:r w:rsidRPr="003B6DCA">
        <w:rPr>
          <w:rFonts w:ascii="Calibri" w:hAnsi="Calibri" w:cs="Calibri"/>
          <w:bCs/>
          <w:i/>
          <w:sz w:val="18"/>
          <w:szCs w:val="20"/>
        </w:rPr>
        <w:t>Myeloma Clinical Nurse Consultant </w:t>
      </w:r>
      <w:r w:rsidRPr="003B6DCA">
        <w:rPr>
          <w:rFonts w:ascii="Calibri" w:hAnsi="Calibri" w:cs="Calibri"/>
          <w:i/>
          <w:sz w:val="18"/>
          <w:szCs w:val="20"/>
        </w:rPr>
        <w:t>|</w:t>
      </w:r>
      <w:r w:rsidRPr="003B6DCA">
        <w:rPr>
          <w:rFonts w:ascii="Calibri" w:hAnsi="Calibri" w:cs="Calibri"/>
          <w:bCs/>
          <w:i/>
          <w:sz w:val="18"/>
          <w:szCs w:val="20"/>
        </w:rPr>
        <w:t> Clinical Research Fellow</w:t>
      </w:r>
      <w:r w:rsidRPr="003B6DCA">
        <w:rPr>
          <w:rFonts w:ascii="Calibri" w:hAnsi="Calibri" w:cs="Calibri"/>
          <w:i/>
          <w:sz w:val="18"/>
          <w:szCs w:val="20"/>
        </w:rPr>
        <w:t> | </w:t>
      </w:r>
      <w:r w:rsidRPr="003B6DCA">
        <w:rPr>
          <w:rFonts w:ascii="Calibri" w:hAnsi="Calibri" w:cs="Calibri"/>
          <w:bCs/>
          <w:i/>
          <w:sz w:val="18"/>
          <w:szCs w:val="20"/>
        </w:rPr>
        <w:t>PhD Candidate</w:t>
      </w:r>
      <w:r w:rsidRPr="003B6DCA">
        <w:rPr>
          <w:rFonts w:ascii="Calibri" w:hAnsi="Calibri" w:cs="Calibri"/>
          <w:i/>
          <w:sz w:val="18"/>
          <w:szCs w:val="20"/>
        </w:rPr>
        <w:t xml:space="preserve">, </w:t>
      </w:r>
      <w:r w:rsidRPr="003B6DCA">
        <w:rPr>
          <w:bCs/>
          <w:i/>
          <w:iCs/>
          <w:sz w:val="18"/>
          <w:szCs w:val="20"/>
        </w:rPr>
        <w:t xml:space="preserve">Institute of Haematology, Royal Prince Alfred Hospital, Sydney. </w:t>
      </w:r>
    </w:p>
    <w:p w14:paraId="6068A371" w14:textId="77777777" w:rsidR="00353E17" w:rsidRPr="00353E17" w:rsidRDefault="00353E17" w:rsidP="00353E17">
      <w:pPr>
        <w:spacing w:after="0" w:line="276" w:lineRule="auto"/>
        <w:rPr>
          <w:bCs/>
          <w:i/>
          <w:iCs/>
          <w:sz w:val="20"/>
          <w:szCs w:val="20"/>
        </w:rPr>
      </w:pPr>
    </w:p>
    <w:p w14:paraId="295305E3" w14:textId="752798E2" w:rsidR="00667D03" w:rsidRDefault="00667D03" w:rsidP="002457CA">
      <w:pPr>
        <w:spacing w:after="0" w:line="240" w:lineRule="auto"/>
        <w:jc w:val="both"/>
        <w:rPr>
          <w:rFonts w:cstheme="minorHAnsi"/>
          <w:bCs/>
          <w:color w:val="000000" w:themeColor="text1"/>
          <w:sz w:val="20"/>
          <w:szCs w:val="20"/>
        </w:rPr>
      </w:pPr>
      <w:r w:rsidRPr="002457CA">
        <w:rPr>
          <w:rFonts w:cstheme="minorHAnsi"/>
          <w:bCs/>
          <w:color w:val="000000" w:themeColor="text1"/>
          <w:sz w:val="20"/>
          <w:szCs w:val="20"/>
        </w:rPr>
        <w:t>Fit and f</w:t>
      </w:r>
      <w:r w:rsidR="004C0CA5" w:rsidRPr="002457CA">
        <w:rPr>
          <w:rFonts w:cstheme="minorHAnsi"/>
          <w:bCs/>
          <w:color w:val="000000" w:themeColor="text1"/>
          <w:sz w:val="20"/>
          <w:szCs w:val="20"/>
        </w:rPr>
        <w:t>rai</w:t>
      </w:r>
      <w:r w:rsidRPr="002457CA">
        <w:rPr>
          <w:rFonts w:cstheme="minorHAnsi"/>
          <w:bCs/>
          <w:color w:val="000000" w:themeColor="text1"/>
          <w:sz w:val="20"/>
          <w:szCs w:val="20"/>
        </w:rPr>
        <w:t>l are terms increasingly used in consensus guidelines for the treatment of multiple myeloma (MM). An individual patients’ fitness often informs treatment choice, dose, schedule and duration</w:t>
      </w:r>
      <w:r w:rsidR="00C70A3F" w:rsidRPr="002457CA">
        <w:rPr>
          <w:rFonts w:cstheme="minorHAnsi"/>
          <w:bCs/>
          <w:color w:val="000000" w:themeColor="text1"/>
          <w:sz w:val="20"/>
          <w:szCs w:val="20"/>
        </w:rPr>
        <w:t>,</w:t>
      </w:r>
      <w:r w:rsidR="009A6B37" w:rsidRPr="002457CA">
        <w:rPr>
          <w:rFonts w:cstheme="minorHAnsi"/>
          <w:bCs/>
          <w:color w:val="000000" w:themeColor="text1"/>
          <w:sz w:val="20"/>
          <w:szCs w:val="20"/>
        </w:rPr>
        <w:t xml:space="preserve"> and a range of frailty assessment tools exist to help us measure for this construct. Furthermore, we know that treatment outcomes differ between frailty groups. </w:t>
      </w:r>
      <w:r w:rsidRPr="002457CA">
        <w:rPr>
          <w:rFonts w:cstheme="minorHAnsi"/>
          <w:bCs/>
          <w:color w:val="000000" w:themeColor="text1"/>
          <w:sz w:val="20"/>
          <w:szCs w:val="20"/>
        </w:rPr>
        <w:t>But what do we mean by ‘FIT’ or ‘FRAIL’</w:t>
      </w:r>
      <w:r w:rsidR="009A6B37" w:rsidRPr="002457CA">
        <w:rPr>
          <w:rFonts w:cstheme="minorHAnsi"/>
          <w:bCs/>
          <w:color w:val="000000" w:themeColor="text1"/>
          <w:sz w:val="20"/>
          <w:szCs w:val="20"/>
        </w:rPr>
        <w:t xml:space="preserve">, which are the best tools to measure for it, and </w:t>
      </w:r>
      <w:r w:rsidRPr="002457CA">
        <w:rPr>
          <w:rFonts w:cstheme="minorHAnsi"/>
          <w:bCs/>
          <w:color w:val="000000" w:themeColor="text1"/>
          <w:sz w:val="20"/>
          <w:szCs w:val="20"/>
        </w:rPr>
        <w:t xml:space="preserve">how </w:t>
      </w:r>
      <w:r w:rsidR="00353E17" w:rsidRPr="002457CA">
        <w:rPr>
          <w:rFonts w:cstheme="minorHAnsi"/>
          <w:bCs/>
          <w:color w:val="000000" w:themeColor="text1"/>
          <w:sz w:val="20"/>
          <w:szCs w:val="20"/>
        </w:rPr>
        <w:t>do/</w:t>
      </w:r>
      <w:r w:rsidRPr="002457CA">
        <w:rPr>
          <w:rFonts w:cstheme="minorHAnsi"/>
          <w:bCs/>
          <w:color w:val="000000" w:themeColor="text1"/>
          <w:sz w:val="20"/>
          <w:szCs w:val="20"/>
        </w:rPr>
        <w:t xml:space="preserve">can we put </w:t>
      </w:r>
      <w:r w:rsidR="009A6B37" w:rsidRPr="002457CA">
        <w:rPr>
          <w:rFonts w:cstheme="minorHAnsi"/>
          <w:bCs/>
          <w:color w:val="000000" w:themeColor="text1"/>
          <w:sz w:val="20"/>
          <w:szCs w:val="20"/>
        </w:rPr>
        <w:t xml:space="preserve">frailty assessment </w:t>
      </w:r>
      <w:r w:rsidRPr="002457CA">
        <w:rPr>
          <w:rFonts w:cstheme="minorHAnsi"/>
          <w:bCs/>
          <w:color w:val="000000" w:themeColor="text1"/>
          <w:sz w:val="20"/>
          <w:szCs w:val="20"/>
        </w:rPr>
        <w:t>into practice? Th</w:t>
      </w:r>
      <w:r w:rsidR="009A6B37" w:rsidRPr="002457CA">
        <w:rPr>
          <w:rFonts w:cstheme="minorHAnsi"/>
          <w:bCs/>
          <w:color w:val="000000" w:themeColor="text1"/>
          <w:sz w:val="20"/>
          <w:szCs w:val="20"/>
        </w:rPr>
        <w:t>ese</w:t>
      </w:r>
      <w:r w:rsidRPr="002457CA">
        <w:rPr>
          <w:rFonts w:cstheme="minorHAnsi"/>
          <w:bCs/>
          <w:color w:val="000000" w:themeColor="text1"/>
          <w:sz w:val="20"/>
          <w:szCs w:val="20"/>
        </w:rPr>
        <w:t xml:space="preserve"> w</w:t>
      </w:r>
      <w:r w:rsidR="009A6B37" w:rsidRPr="002457CA">
        <w:rPr>
          <w:rFonts w:cstheme="minorHAnsi"/>
          <w:bCs/>
          <w:color w:val="000000" w:themeColor="text1"/>
          <w:sz w:val="20"/>
          <w:szCs w:val="20"/>
        </w:rPr>
        <w:t>ere the</w:t>
      </w:r>
      <w:r w:rsidRPr="002457CA">
        <w:rPr>
          <w:rFonts w:cstheme="minorHAnsi"/>
          <w:bCs/>
          <w:color w:val="000000" w:themeColor="text1"/>
          <w:sz w:val="20"/>
          <w:szCs w:val="20"/>
        </w:rPr>
        <w:t xml:space="preserve"> question</w:t>
      </w:r>
      <w:r w:rsidR="009A6B37" w:rsidRPr="002457CA">
        <w:rPr>
          <w:rFonts w:cstheme="minorHAnsi"/>
          <w:bCs/>
          <w:color w:val="000000" w:themeColor="text1"/>
          <w:sz w:val="20"/>
          <w:szCs w:val="20"/>
        </w:rPr>
        <w:t>s</w:t>
      </w:r>
      <w:r w:rsidRPr="002457CA">
        <w:rPr>
          <w:rFonts w:cstheme="minorHAnsi"/>
          <w:bCs/>
          <w:color w:val="000000" w:themeColor="text1"/>
          <w:sz w:val="20"/>
          <w:szCs w:val="20"/>
        </w:rPr>
        <w:t xml:space="preserve"> recently put to </w:t>
      </w:r>
      <w:r w:rsidR="00C70A3F" w:rsidRPr="002457CA">
        <w:rPr>
          <w:rFonts w:cstheme="minorHAnsi"/>
          <w:bCs/>
          <w:color w:val="000000" w:themeColor="text1"/>
          <w:sz w:val="20"/>
          <w:szCs w:val="20"/>
        </w:rPr>
        <w:t>members</w:t>
      </w:r>
      <w:r w:rsidRPr="002457CA">
        <w:rPr>
          <w:rFonts w:cstheme="minorHAnsi"/>
          <w:bCs/>
          <w:color w:val="000000" w:themeColor="text1"/>
          <w:sz w:val="20"/>
          <w:szCs w:val="20"/>
        </w:rPr>
        <w:t xml:space="preserve"> </w:t>
      </w:r>
      <w:r w:rsidR="00C70A3F" w:rsidRPr="002457CA">
        <w:rPr>
          <w:rFonts w:cstheme="minorHAnsi"/>
          <w:bCs/>
          <w:color w:val="000000" w:themeColor="text1"/>
          <w:sz w:val="20"/>
          <w:szCs w:val="20"/>
        </w:rPr>
        <w:t>of</w:t>
      </w:r>
      <w:r w:rsidRPr="002457CA">
        <w:rPr>
          <w:rFonts w:cstheme="minorHAnsi"/>
          <w:bCs/>
          <w:color w:val="000000" w:themeColor="text1"/>
          <w:sz w:val="20"/>
          <w:szCs w:val="20"/>
        </w:rPr>
        <w:t xml:space="preserve"> the Myeloma Specialist Practice Network (M-SPN)</w:t>
      </w:r>
      <w:r w:rsidR="009A6B37" w:rsidRPr="002457CA">
        <w:rPr>
          <w:rFonts w:cstheme="minorHAnsi"/>
          <w:bCs/>
          <w:color w:val="000000" w:themeColor="text1"/>
          <w:sz w:val="20"/>
          <w:szCs w:val="20"/>
        </w:rPr>
        <w:t xml:space="preserve"> and the findings are presented in this short </w:t>
      </w:r>
      <w:r w:rsidR="00353E17" w:rsidRPr="002457CA">
        <w:rPr>
          <w:rFonts w:cstheme="minorHAnsi"/>
          <w:bCs/>
          <w:color w:val="000000" w:themeColor="text1"/>
          <w:sz w:val="20"/>
          <w:szCs w:val="20"/>
        </w:rPr>
        <w:t xml:space="preserve">summary </w:t>
      </w:r>
      <w:r w:rsidR="009A6B37" w:rsidRPr="002457CA">
        <w:rPr>
          <w:rFonts w:cstheme="minorHAnsi"/>
          <w:bCs/>
          <w:color w:val="000000" w:themeColor="text1"/>
          <w:sz w:val="20"/>
          <w:szCs w:val="20"/>
        </w:rPr>
        <w:t xml:space="preserve">article. </w:t>
      </w:r>
    </w:p>
    <w:p w14:paraId="0B210274" w14:textId="77777777" w:rsidR="002457CA" w:rsidRPr="002457CA" w:rsidRDefault="002457CA" w:rsidP="002457CA">
      <w:pPr>
        <w:spacing w:after="0" w:line="240" w:lineRule="auto"/>
        <w:jc w:val="both"/>
        <w:rPr>
          <w:rFonts w:cstheme="minorHAnsi"/>
          <w:bCs/>
          <w:color w:val="000000" w:themeColor="text1"/>
          <w:sz w:val="20"/>
          <w:szCs w:val="20"/>
        </w:rPr>
      </w:pPr>
    </w:p>
    <w:p w14:paraId="71159527" w14:textId="5D5AB592" w:rsidR="00273214" w:rsidRPr="002457CA" w:rsidRDefault="00273214" w:rsidP="002457CA">
      <w:pPr>
        <w:spacing w:after="0" w:line="240" w:lineRule="auto"/>
        <w:jc w:val="both"/>
        <w:rPr>
          <w:rFonts w:cstheme="minorHAnsi"/>
          <w:color w:val="000000" w:themeColor="text1"/>
          <w:sz w:val="20"/>
          <w:szCs w:val="20"/>
        </w:rPr>
      </w:pPr>
      <w:r w:rsidRPr="002457CA">
        <w:rPr>
          <w:rFonts w:cstheme="minorHAnsi"/>
          <w:bCs/>
          <w:color w:val="000000" w:themeColor="text1"/>
          <w:sz w:val="20"/>
          <w:szCs w:val="20"/>
        </w:rPr>
        <w:t xml:space="preserve">When </w:t>
      </w:r>
      <w:r w:rsidR="00C70A3F" w:rsidRPr="002457CA">
        <w:rPr>
          <w:rFonts w:cstheme="minorHAnsi"/>
          <w:bCs/>
          <w:color w:val="000000" w:themeColor="text1"/>
          <w:sz w:val="20"/>
          <w:szCs w:val="20"/>
        </w:rPr>
        <w:t xml:space="preserve">asked </w:t>
      </w:r>
      <w:r w:rsidRPr="002457CA">
        <w:rPr>
          <w:rFonts w:cstheme="minorHAnsi"/>
          <w:bCs/>
          <w:color w:val="000000" w:themeColor="text1"/>
          <w:sz w:val="20"/>
          <w:szCs w:val="20"/>
        </w:rPr>
        <w:t>if they undertook routine frailty assessment in their MM clinical pr</w:t>
      </w:r>
      <w:r w:rsidR="00C70A3F" w:rsidRPr="002457CA">
        <w:rPr>
          <w:rFonts w:cstheme="minorHAnsi"/>
          <w:bCs/>
          <w:color w:val="000000" w:themeColor="text1"/>
          <w:sz w:val="20"/>
          <w:szCs w:val="20"/>
        </w:rPr>
        <w:t xml:space="preserve">actice it became clear </w:t>
      </w:r>
      <w:r w:rsidRPr="002457CA">
        <w:rPr>
          <w:rFonts w:cstheme="minorHAnsi"/>
          <w:bCs/>
          <w:color w:val="000000" w:themeColor="text1"/>
          <w:sz w:val="20"/>
          <w:szCs w:val="20"/>
        </w:rPr>
        <w:t xml:space="preserve">a range of practices and assessment types </w:t>
      </w:r>
      <w:r w:rsidR="0080691C" w:rsidRPr="002457CA">
        <w:rPr>
          <w:rFonts w:cstheme="minorHAnsi"/>
          <w:bCs/>
          <w:color w:val="000000" w:themeColor="text1"/>
          <w:sz w:val="20"/>
          <w:szCs w:val="20"/>
        </w:rPr>
        <w:t xml:space="preserve">were </w:t>
      </w:r>
      <w:r w:rsidRPr="002457CA">
        <w:rPr>
          <w:rFonts w:cstheme="minorHAnsi"/>
          <w:bCs/>
          <w:color w:val="000000" w:themeColor="text1"/>
          <w:sz w:val="20"/>
          <w:szCs w:val="20"/>
        </w:rPr>
        <w:t>u</w:t>
      </w:r>
      <w:r w:rsidR="0080691C" w:rsidRPr="002457CA">
        <w:rPr>
          <w:rFonts w:cstheme="minorHAnsi"/>
          <w:bCs/>
          <w:color w:val="000000" w:themeColor="text1"/>
          <w:sz w:val="20"/>
          <w:szCs w:val="20"/>
        </w:rPr>
        <w:t>tilised</w:t>
      </w:r>
      <w:r w:rsidRPr="002457CA">
        <w:rPr>
          <w:rFonts w:cstheme="minorHAnsi"/>
          <w:bCs/>
          <w:color w:val="000000" w:themeColor="text1"/>
          <w:sz w:val="20"/>
          <w:szCs w:val="20"/>
        </w:rPr>
        <w:t>. From ‘end of the bed clinical judgements’ to formal ‘comprehensive geriatric oncology assessment (CGA)</w:t>
      </w:r>
      <w:r w:rsidR="00844A99">
        <w:rPr>
          <w:rFonts w:cstheme="minorHAnsi"/>
          <w:bCs/>
          <w:color w:val="000000" w:themeColor="text1"/>
          <w:sz w:val="20"/>
          <w:szCs w:val="20"/>
        </w:rPr>
        <w:t>,</w:t>
      </w:r>
      <w:r w:rsidRPr="002457CA">
        <w:rPr>
          <w:rFonts w:cstheme="minorHAnsi"/>
          <w:bCs/>
          <w:color w:val="000000" w:themeColor="text1"/>
          <w:sz w:val="20"/>
          <w:szCs w:val="20"/>
        </w:rPr>
        <w:t>’ with most</w:t>
      </w:r>
      <w:r w:rsidR="0080691C" w:rsidRPr="002457CA">
        <w:rPr>
          <w:rFonts w:cstheme="minorHAnsi"/>
          <w:bCs/>
          <w:color w:val="000000" w:themeColor="text1"/>
          <w:sz w:val="20"/>
          <w:szCs w:val="20"/>
        </w:rPr>
        <w:t xml:space="preserve">, </w:t>
      </w:r>
      <w:r w:rsidRPr="002457CA">
        <w:rPr>
          <w:rFonts w:cstheme="minorHAnsi"/>
          <w:bCs/>
          <w:color w:val="000000" w:themeColor="text1"/>
          <w:sz w:val="20"/>
          <w:szCs w:val="20"/>
        </w:rPr>
        <w:t xml:space="preserve">somewhere in between.  </w:t>
      </w:r>
    </w:p>
    <w:p w14:paraId="328360DC" w14:textId="77777777" w:rsidR="002457CA" w:rsidRDefault="002457CA" w:rsidP="002457CA">
      <w:pPr>
        <w:spacing w:after="0" w:line="240" w:lineRule="auto"/>
        <w:jc w:val="both"/>
        <w:rPr>
          <w:rFonts w:cstheme="minorHAnsi"/>
          <w:b/>
          <w:color w:val="000000" w:themeColor="text1"/>
        </w:rPr>
      </w:pPr>
    </w:p>
    <w:p w14:paraId="6407E224" w14:textId="6FDAA89C" w:rsidR="00353E17" w:rsidRPr="002457CA" w:rsidRDefault="00353E17" w:rsidP="002457CA">
      <w:pPr>
        <w:spacing w:after="0" w:line="240" w:lineRule="auto"/>
        <w:jc w:val="both"/>
        <w:rPr>
          <w:rFonts w:cstheme="minorHAnsi"/>
          <w:b/>
          <w:color w:val="000000" w:themeColor="text1"/>
        </w:rPr>
      </w:pPr>
      <w:r w:rsidRPr="002457CA">
        <w:rPr>
          <w:rFonts w:cstheme="minorHAnsi"/>
          <w:b/>
          <w:color w:val="000000" w:themeColor="text1"/>
        </w:rPr>
        <w:t>Myeloma – the context</w:t>
      </w:r>
    </w:p>
    <w:p w14:paraId="1D7B6B5A" w14:textId="70BF9F61" w:rsidR="00353E17" w:rsidRPr="002457CA" w:rsidRDefault="00353E17" w:rsidP="002457CA">
      <w:pPr>
        <w:spacing w:after="0" w:line="240" w:lineRule="auto"/>
        <w:jc w:val="both"/>
        <w:rPr>
          <w:rFonts w:cstheme="minorHAnsi"/>
          <w:color w:val="000000" w:themeColor="text1"/>
          <w:sz w:val="20"/>
          <w:szCs w:val="20"/>
        </w:rPr>
      </w:pPr>
      <w:r w:rsidRPr="002457CA">
        <w:rPr>
          <w:rFonts w:cstheme="minorHAnsi"/>
          <w:color w:val="000000" w:themeColor="text1"/>
          <w:sz w:val="20"/>
          <w:szCs w:val="20"/>
        </w:rPr>
        <w:t xml:space="preserve">Myeloma is predominantly a disease of </w:t>
      </w:r>
      <w:r w:rsidR="00BB48A6" w:rsidRPr="002457CA">
        <w:rPr>
          <w:rFonts w:cstheme="minorHAnsi"/>
          <w:color w:val="000000" w:themeColor="text1"/>
          <w:sz w:val="20"/>
          <w:szCs w:val="20"/>
        </w:rPr>
        <w:t>older</w:t>
      </w:r>
      <w:r w:rsidRPr="002457CA">
        <w:rPr>
          <w:rFonts w:cstheme="minorHAnsi"/>
          <w:color w:val="000000" w:themeColor="text1"/>
          <w:sz w:val="20"/>
          <w:szCs w:val="20"/>
        </w:rPr>
        <w:t xml:space="preserve"> age, with </w:t>
      </w:r>
      <w:r w:rsidR="00BB48A6" w:rsidRPr="002457CA">
        <w:rPr>
          <w:rFonts w:cstheme="minorHAnsi"/>
          <w:color w:val="000000" w:themeColor="text1"/>
          <w:sz w:val="20"/>
          <w:szCs w:val="20"/>
        </w:rPr>
        <w:t>a mean age at diagnosis of 70.2 years</w:t>
      </w:r>
      <w:r w:rsidR="005F1F02" w:rsidRPr="002457CA">
        <w:rPr>
          <w:rFonts w:cstheme="minorHAnsi"/>
          <w:color w:val="000000" w:themeColor="text1"/>
          <w:sz w:val="20"/>
          <w:szCs w:val="20"/>
        </w:rPr>
        <w:t xml:space="preserve">, </w:t>
      </w:r>
      <w:r w:rsidR="0080691C" w:rsidRPr="002457CA">
        <w:rPr>
          <w:rFonts w:cstheme="minorHAnsi"/>
          <w:color w:val="000000" w:themeColor="text1"/>
          <w:sz w:val="20"/>
          <w:szCs w:val="20"/>
        </w:rPr>
        <w:t>40%</w:t>
      </w:r>
      <w:r w:rsidR="00BB48A6" w:rsidRPr="002457CA">
        <w:rPr>
          <w:rFonts w:cstheme="minorHAnsi"/>
          <w:color w:val="000000" w:themeColor="text1"/>
          <w:sz w:val="20"/>
          <w:szCs w:val="20"/>
        </w:rPr>
        <w:t xml:space="preserve"> of patients </w:t>
      </w:r>
      <w:r w:rsidR="00BB48A6" w:rsidRPr="002457CA">
        <w:rPr>
          <w:rFonts w:cstheme="minorHAnsi"/>
          <w:color w:val="000000" w:themeColor="text1"/>
          <w:sz w:val="20"/>
          <w:szCs w:val="20"/>
          <w:u w:val="single"/>
        </w:rPr>
        <w:t>&gt;</w:t>
      </w:r>
      <w:r w:rsidR="00BB48A6" w:rsidRPr="002457CA">
        <w:rPr>
          <w:rFonts w:cstheme="minorHAnsi"/>
          <w:color w:val="000000" w:themeColor="text1"/>
          <w:sz w:val="20"/>
          <w:szCs w:val="20"/>
        </w:rPr>
        <w:t xml:space="preserve"> 75 years and 2</w:t>
      </w:r>
      <w:r w:rsidR="0080691C" w:rsidRPr="002457CA">
        <w:rPr>
          <w:rFonts w:cstheme="minorHAnsi"/>
          <w:color w:val="000000" w:themeColor="text1"/>
          <w:sz w:val="20"/>
          <w:szCs w:val="20"/>
        </w:rPr>
        <w:t>6</w:t>
      </w:r>
      <w:r w:rsidR="00BB48A6" w:rsidRPr="002457CA">
        <w:rPr>
          <w:rFonts w:cstheme="minorHAnsi"/>
          <w:color w:val="000000" w:themeColor="text1"/>
          <w:sz w:val="20"/>
          <w:szCs w:val="20"/>
        </w:rPr>
        <w:t xml:space="preserve">% </w:t>
      </w:r>
      <w:r w:rsidR="00BB48A6" w:rsidRPr="002457CA">
        <w:rPr>
          <w:rFonts w:cstheme="minorHAnsi"/>
          <w:color w:val="000000" w:themeColor="text1"/>
          <w:sz w:val="20"/>
          <w:szCs w:val="20"/>
          <w:u w:val="single"/>
        </w:rPr>
        <w:t>&gt;</w:t>
      </w:r>
      <w:r w:rsidR="00BB48A6" w:rsidRPr="002457CA">
        <w:rPr>
          <w:rFonts w:cstheme="minorHAnsi"/>
          <w:color w:val="000000" w:themeColor="text1"/>
          <w:sz w:val="20"/>
          <w:szCs w:val="20"/>
        </w:rPr>
        <w:t xml:space="preserve"> 80 years of age (AIHW 201</w:t>
      </w:r>
      <w:r w:rsidR="0080691C" w:rsidRPr="002457CA">
        <w:rPr>
          <w:rFonts w:cstheme="minorHAnsi"/>
          <w:color w:val="000000" w:themeColor="text1"/>
          <w:sz w:val="20"/>
          <w:szCs w:val="20"/>
        </w:rPr>
        <w:t>9</w:t>
      </w:r>
      <w:r w:rsidR="00BB48A6" w:rsidRPr="002457CA">
        <w:rPr>
          <w:rFonts w:cstheme="minorHAnsi"/>
          <w:color w:val="000000" w:themeColor="text1"/>
          <w:sz w:val="20"/>
          <w:szCs w:val="20"/>
        </w:rPr>
        <w:t xml:space="preserve">). With </w:t>
      </w:r>
      <w:r w:rsidR="00BB48A6" w:rsidRPr="00844A99">
        <w:rPr>
          <w:rFonts w:cstheme="minorHAnsi"/>
          <w:color w:val="000000" w:themeColor="text1"/>
          <w:sz w:val="20"/>
          <w:szCs w:val="20"/>
        </w:rPr>
        <w:t xml:space="preserve">improvements in overall survival (OS) for </w:t>
      </w:r>
      <w:r w:rsidR="002267C3" w:rsidRPr="00844A99">
        <w:rPr>
          <w:rFonts w:cstheme="minorHAnsi"/>
          <w:color w:val="000000" w:themeColor="text1"/>
          <w:sz w:val="20"/>
          <w:szCs w:val="20"/>
        </w:rPr>
        <w:t xml:space="preserve">those with </w:t>
      </w:r>
      <w:r w:rsidR="00BB48A6" w:rsidRPr="00844A99">
        <w:rPr>
          <w:rFonts w:cstheme="minorHAnsi"/>
          <w:color w:val="000000" w:themeColor="text1"/>
          <w:sz w:val="20"/>
          <w:szCs w:val="20"/>
        </w:rPr>
        <w:t>MM and</w:t>
      </w:r>
      <w:r w:rsidR="00BB48A6" w:rsidRPr="002457CA">
        <w:rPr>
          <w:rFonts w:cstheme="minorHAnsi"/>
          <w:color w:val="000000" w:themeColor="text1"/>
          <w:sz w:val="20"/>
          <w:szCs w:val="20"/>
        </w:rPr>
        <w:t xml:space="preserve"> an ageing of the population we expect to see more cases of MM being diagnosed each year.  </w:t>
      </w:r>
      <w:r w:rsidR="002267C3" w:rsidRPr="002457CA">
        <w:rPr>
          <w:rFonts w:cstheme="minorHAnsi"/>
          <w:color w:val="000000" w:themeColor="text1"/>
          <w:sz w:val="20"/>
          <w:szCs w:val="20"/>
        </w:rPr>
        <w:t xml:space="preserve">Myeloma commonly follows a multiply relapsing and remitting course with patients requiring successive lines of multi-drug therapy over increasing number of years. </w:t>
      </w:r>
      <w:r w:rsidR="00BB48A6" w:rsidRPr="002457CA">
        <w:rPr>
          <w:rFonts w:cstheme="minorHAnsi"/>
          <w:color w:val="000000" w:themeColor="text1"/>
          <w:sz w:val="20"/>
          <w:szCs w:val="20"/>
        </w:rPr>
        <w:t xml:space="preserve">Recent </w:t>
      </w:r>
      <w:r w:rsidR="005F1F02" w:rsidRPr="002457CA">
        <w:rPr>
          <w:rFonts w:cstheme="minorHAnsi"/>
          <w:color w:val="000000" w:themeColor="text1"/>
          <w:sz w:val="20"/>
          <w:szCs w:val="20"/>
        </w:rPr>
        <w:t xml:space="preserve">approval </w:t>
      </w:r>
      <w:r w:rsidR="005F1F02" w:rsidRPr="009D3ABF">
        <w:rPr>
          <w:rFonts w:cstheme="minorHAnsi"/>
          <w:color w:val="000000" w:themeColor="text1"/>
          <w:sz w:val="20"/>
          <w:szCs w:val="20"/>
        </w:rPr>
        <w:t xml:space="preserve">of </w:t>
      </w:r>
      <w:r w:rsidR="005A199F" w:rsidRPr="009D3ABF">
        <w:rPr>
          <w:rFonts w:cstheme="minorHAnsi"/>
          <w:color w:val="000000" w:themeColor="text1"/>
          <w:sz w:val="20"/>
          <w:szCs w:val="20"/>
        </w:rPr>
        <w:t xml:space="preserve">triplet therapy </w:t>
      </w:r>
      <w:r w:rsidR="005F1F02" w:rsidRPr="009D3ABF">
        <w:rPr>
          <w:rFonts w:cstheme="minorHAnsi"/>
          <w:color w:val="000000" w:themeColor="text1"/>
          <w:sz w:val="20"/>
          <w:szCs w:val="20"/>
        </w:rPr>
        <w:t xml:space="preserve">bortezomib, lenalidomide and dexamethasone (VRD) in the upfront setting for MM provides us with robust treatment approaches that aim to increase depth of response and </w:t>
      </w:r>
      <w:r w:rsidR="002267C3" w:rsidRPr="009D3ABF">
        <w:rPr>
          <w:rFonts w:cstheme="minorHAnsi"/>
          <w:color w:val="000000" w:themeColor="text1"/>
          <w:sz w:val="20"/>
          <w:szCs w:val="20"/>
        </w:rPr>
        <w:t xml:space="preserve">further </w:t>
      </w:r>
      <w:r w:rsidR="005F1F02" w:rsidRPr="009D3ABF">
        <w:rPr>
          <w:rFonts w:cstheme="minorHAnsi"/>
          <w:color w:val="000000" w:themeColor="text1"/>
          <w:sz w:val="20"/>
          <w:szCs w:val="20"/>
        </w:rPr>
        <w:t xml:space="preserve">improve </w:t>
      </w:r>
      <w:r w:rsidR="002267C3" w:rsidRPr="009D3ABF">
        <w:rPr>
          <w:rFonts w:cstheme="minorHAnsi"/>
          <w:color w:val="000000" w:themeColor="text1"/>
          <w:sz w:val="20"/>
          <w:szCs w:val="20"/>
        </w:rPr>
        <w:t xml:space="preserve">survival </w:t>
      </w:r>
      <w:r w:rsidR="005F1F02" w:rsidRPr="009D3ABF">
        <w:rPr>
          <w:rFonts w:cstheme="minorHAnsi"/>
          <w:color w:val="000000" w:themeColor="text1"/>
          <w:sz w:val="20"/>
          <w:szCs w:val="20"/>
        </w:rPr>
        <w:t xml:space="preserve">outcomes. The intensity of treatment needs to be </w:t>
      </w:r>
      <w:r w:rsidR="00B43C3E" w:rsidRPr="009D3ABF">
        <w:rPr>
          <w:rFonts w:cstheme="minorHAnsi"/>
          <w:color w:val="000000" w:themeColor="text1"/>
          <w:sz w:val="20"/>
          <w:szCs w:val="20"/>
        </w:rPr>
        <w:t xml:space="preserve">balanced with ability to tolerate </w:t>
      </w:r>
      <w:r w:rsidR="005A199F" w:rsidRPr="009D3ABF">
        <w:rPr>
          <w:rFonts w:cstheme="minorHAnsi"/>
          <w:color w:val="000000" w:themeColor="text1"/>
          <w:sz w:val="20"/>
          <w:szCs w:val="20"/>
        </w:rPr>
        <w:t xml:space="preserve">both </w:t>
      </w:r>
      <w:r w:rsidR="00B43C3E" w:rsidRPr="009D3ABF">
        <w:rPr>
          <w:rFonts w:cstheme="minorHAnsi"/>
          <w:color w:val="000000" w:themeColor="text1"/>
          <w:sz w:val="20"/>
          <w:szCs w:val="20"/>
        </w:rPr>
        <w:t xml:space="preserve">predictable disease and treatment related toxicity. </w:t>
      </w:r>
      <w:r w:rsidR="002457CA" w:rsidRPr="009D3ABF">
        <w:rPr>
          <w:rFonts w:cstheme="minorHAnsi"/>
          <w:color w:val="000000" w:themeColor="text1"/>
          <w:sz w:val="20"/>
          <w:szCs w:val="20"/>
        </w:rPr>
        <w:t>In</w:t>
      </w:r>
      <w:r w:rsidR="00B43C3E" w:rsidRPr="009D3ABF">
        <w:rPr>
          <w:rFonts w:cstheme="minorHAnsi"/>
          <w:color w:val="000000" w:themeColor="text1"/>
          <w:sz w:val="20"/>
          <w:szCs w:val="20"/>
        </w:rPr>
        <w:t xml:space="preserve">cidence of toxicity </w:t>
      </w:r>
      <w:r w:rsidR="002457CA" w:rsidRPr="009D3ABF">
        <w:rPr>
          <w:rFonts w:cstheme="minorHAnsi"/>
          <w:color w:val="000000" w:themeColor="text1"/>
          <w:sz w:val="20"/>
          <w:szCs w:val="20"/>
        </w:rPr>
        <w:t>may be</w:t>
      </w:r>
      <w:r w:rsidR="00B43C3E" w:rsidRPr="009D3ABF">
        <w:rPr>
          <w:rFonts w:cstheme="minorHAnsi"/>
          <w:color w:val="000000" w:themeColor="text1"/>
          <w:sz w:val="20"/>
          <w:szCs w:val="20"/>
        </w:rPr>
        <w:t xml:space="preserve"> similar between</w:t>
      </w:r>
      <w:r w:rsidR="00B43C3E" w:rsidRPr="002457CA">
        <w:rPr>
          <w:rFonts w:cstheme="minorHAnsi"/>
          <w:color w:val="000000" w:themeColor="text1"/>
          <w:sz w:val="20"/>
          <w:szCs w:val="20"/>
        </w:rPr>
        <w:t xml:space="preserve"> age groups, </w:t>
      </w:r>
      <w:r w:rsidR="002457CA" w:rsidRPr="002457CA">
        <w:rPr>
          <w:rFonts w:cstheme="minorHAnsi"/>
          <w:color w:val="000000" w:themeColor="text1"/>
          <w:sz w:val="20"/>
          <w:szCs w:val="20"/>
        </w:rPr>
        <w:t xml:space="preserve">but </w:t>
      </w:r>
      <w:r w:rsidR="00B43C3E" w:rsidRPr="002457CA">
        <w:rPr>
          <w:rFonts w:cstheme="minorHAnsi"/>
          <w:color w:val="000000" w:themeColor="text1"/>
          <w:sz w:val="20"/>
          <w:szCs w:val="20"/>
        </w:rPr>
        <w:t>capacity to tolerate toxicit</w:t>
      </w:r>
      <w:r w:rsidR="002457CA" w:rsidRPr="002457CA">
        <w:rPr>
          <w:rFonts w:cstheme="minorHAnsi"/>
          <w:color w:val="000000" w:themeColor="text1"/>
          <w:sz w:val="20"/>
          <w:szCs w:val="20"/>
        </w:rPr>
        <w:t>ies</w:t>
      </w:r>
      <w:r w:rsidR="00B43C3E" w:rsidRPr="002457CA">
        <w:rPr>
          <w:rFonts w:cstheme="minorHAnsi"/>
          <w:color w:val="000000" w:themeColor="text1"/>
          <w:sz w:val="20"/>
          <w:szCs w:val="20"/>
        </w:rPr>
        <w:t xml:space="preserve"> decreases with increased age (</w:t>
      </w:r>
      <w:proofErr w:type="spellStart"/>
      <w:r w:rsidR="00B43C3E" w:rsidRPr="002457CA">
        <w:rPr>
          <w:rFonts w:cstheme="minorHAnsi"/>
          <w:color w:val="000000" w:themeColor="text1"/>
          <w:sz w:val="20"/>
          <w:szCs w:val="20"/>
        </w:rPr>
        <w:t>Terpos</w:t>
      </w:r>
      <w:proofErr w:type="spellEnd"/>
      <w:r w:rsidR="00B43C3E" w:rsidRPr="002457CA">
        <w:rPr>
          <w:rFonts w:cstheme="minorHAnsi"/>
          <w:color w:val="000000" w:themeColor="text1"/>
          <w:sz w:val="20"/>
          <w:szCs w:val="20"/>
        </w:rPr>
        <w:t xml:space="preserve"> et al 2015)</w:t>
      </w:r>
      <w:r w:rsidR="005F1F02" w:rsidRPr="002457CA">
        <w:rPr>
          <w:rFonts w:cstheme="minorHAnsi"/>
          <w:color w:val="000000" w:themeColor="text1"/>
          <w:sz w:val="20"/>
          <w:szCs w:val="20"/>
        </w:rPr>
        <w:t xml:space="preserve">. </w:t>
      </w:r>
      <w:r w:rsidR="002457CA" w:rsidRPr="002457CA">
        <w:rPr>
          <w:rFonts w:cstheme="minorHAnsi"/>
          <w:color w:val="000000" w:themeColor="text1"/>
          <w:sz w:val="20"/>
          <w:szCs w:val="20"/>
        </w:rPr>
        <w:t>Whilst t</w:t>
      </w:r>
      <w:r w:rsidR="00406B76" w:rsidRPr="002457CA">
        <w:rPr>
          <w:rFonts w:cstheme="minorHAnsi"/>
          <w:color w:val="000000" w:themeColor="text1"/>
          <w:sz w:val="20"/>
          <w:szCs w:val="20"/>
        </w:rPr>
        <w:t xml:space="preserve">ransplant eligible and transplant ineligible pathways are established, optimising treatment choice should also be based on </w:t>
      </w:r>
      <w:r w:rsidR="002457CA" w:rsidRPr="002457CA">
        <w:rPr>
          <w:rFonts w:cstheme="minorHAnsi"/>
          <w:color w:val="000000" w:themeColor="text1"/>
          <w:sz w:val="20"/>
          <w:szCs w:val="20"/>
        </w:rPr>
        <w:t xml:space="preserve">formal </w:t>
      </w:r>
      <w:r w:rsidR="00406B76" w:rsidRPr="002457CA">
        <w:rPr>
          <w:rFonts w:cstheme="minorHAnsi"/>
          <w:color w:val="000000" w:themeColor="text1"/>
          <w:sz w:val="20"/>
          <w:szCs w:val="20"/>
        </w:rPr>
        <w:t>frailty assessment, tailoring treatment type, dose and schedule to frailty status.</w:t>
      </w:r>
    </w:p>
    <w:p w14:paraId="039AC8D6" w14:textId="77777777" w:rsidR="002457CA" w:rsidRDefault="002457CA" w:rsidP="002457CA">
      <w:pPr>
        <w:spacing w:after="0" w:line="240" w:lineRule="auto"/>
        <w:jc w:val="both"/>
        <w:rPr>
          <w:rFonts w:cstheme="minorHAnsi"/>
          <w:b/>
          <w:color w:val="000000" w:themeColor="text1"/>
        </w:rPr>
      </w:pPr>
    </w:p>
    <w:p w14:paraId="22D2213B" w14:textId="0C67C26F" w:rsidR="00273214" w:rsidRPr="002457CA" w:rsidRDefault="00353E17" w:rsidP="002457CA">
      <w:pPr>
        <w:spacing w:after="0" w:line="240" w:lineRule="auto"/>
        <w:jc w:val="both"/>
        <w:rPr>
          <w:rFonts w:cstheme="minorHAnsi"/>
          <w:b/>
          <w:color w:val="000000" w:themeColor="text1"/>
        </w:rPr>
      </w:pPr>
      <w:r w:rsidRPr="002457CA">
        <w:rPr>
          <w:rFonts w:cstheme="minorHAnsi"/>
          <w:b/>
          <w:color w:val="000000" w:themeColor="text1"/>
        </w:rPr>
        <w:t xml:space="preserve">What </w:t>
      </w:r>
      <w:r w:rsidR="00667D03" w:rsidRPr="002457CA">
        <w:rPr>
          <w:rFonts w:cstheme="minorHAnsi"/>
          <w:b/>
          <w:color w:val="000000" w:themeColor="text1"/>
        </w:rPr>
        <w:t>do we mean by frailty</w:t>
      </w:r>
      <w:r w:rsidR="00273214" w:rsidRPr="002457CA">
        <w:rPr>
          <w:rFonts w:cstheme="minorHAnsi"/>
          <w:b/>
          <w:color w:val="000000" w:themeColor="text1"/>
        </w:rPr>
        <w:t>?</w:t>
      </w:r>
    </w:p>
    <w:p w14:paraId="4013A212" w14:textId="55293FF5" w:rsidR="00273214" w:rsidRPr="002457CA" w:rsidRDefault="00273214" w:rsidP="002457CA">
      <w:pPr>
        <w:spacing w:after="0" w:line="240" w:lineRule="auto"/>
        <w:jc w:val="both"/>
        <w:rPr>
          <w:rFonts w:cstheme="minorHAnsi"/>
          <w:color w:val="000000" w:themeColor="text1"/>
          <w:sz w:val="20"/>
          <w:szCs w:val="20"/>
        </w:rPr>
      </w:pPr>
      <w:r w:rsidRPr="002457CA">
        <w:rPr>
          <w:rFonts w:cstheme="minorHAnsi"/>
          <w:color w:val="000000" w:themeColor="text1"/>
          <w:sz w:val="20"/>
          <w:szCs w:val="20"/>
        </w:rPr>
        <w:t>Frailty is a multidimensional state of diminished reserve (energy, physical ability, cognition and health) which gives rise to vulnerability and can result in reduced ability to resist stressors, including cancer and its treatment (Clegg</w:t>
      </w:r>
      <w:r w:rsidR="00342513" w:rsidRPr="002457CA">
        <w:rPr>
          <w:rFonts w:cstheme="minorHAnsi"/>
          <w:color w:val="000000" w:themeColor="text1"/>
          <w:sz w:val="20"/>
          <w:szCs w:val="20"/>
        </w:rPr>
        <w:t xml:space="preserve"> 2013 &amp; </w:t>
      </w:r>
      <w:r w:rsidRPr="002457CA">
        <w:rPr>
          <w:rFonts w:cstheme="minorHAnsi"/>
          <w:color w:val="000000" w:themeColor="text1"/>
          <w:sz w:val="20"/>
          <w:szCs w:val="20"/>
        </w:rPr>
        <w:t>Rockwood</w:t>
      </w:r>
      <w:r w:rsidR="00342513" w:rsidRPr="002457CA">
        <w:rPr>
          <w:rFonts w:cstheme="minorHAnsi"/>
          <w:color w:val="000000" w:themeColor="text1"/>
          <w:sz w:val="20"/>
          <w:szCs w:val="20"/>
        </w:rPr>
        <w:t xml:space="preserve"> 2005</w:t>
      </w:r>
      <w:r w:rsidRPr="002457CA">
        <w:rPr>
          <w:rFonts w:cstheme="minorHAnsi"/>
          <w:color w:val="000000" w:themeColor="text1"/>
          <w:sz w:val="20"/>
          <w:szCs w:val="20"/>
        </w:rPr>
        <w:t>).</w:t>
      </w:r>
      <w:r w:rsidR="00BB48A6" w:rsidRPr="002457CA">
        <w:rPr>
          <w:rFonts w:cstheme="minorHAnsi"/>
          <w:color w:val="000000" w:themeColor="text1"/>
          <w:sz w:val="20"/>
          <w:szCs w:val="20"/>
        </w:rPr>
        <w:t xml:space="preserve"> Understanding the domains of vulnerability (frailty, comorbidity and disability) is essential in tailoring treatment that will optimise outcomes for individual patients. </w:t>
      </w:r>
    </w:p>
    <w:p w14:paraId="2A876C34" w14:textId="77777777" w:rsidR="002457CA" w:rsidRPr="002457CA" w:rsidRDefault="002457CA" w:rsidP="002457CA">
      <w:pPr>
        <w:spacing w:after="0" w:line="240" w:lineRule="auto"/>
        <w:jc w:val="both"/>
        <w:rPr>
          <w:rFonts w:cstheme="minorHAnsi"/>
          <w:color w:val="000000" w:themeColor="text1"/>
          <w:sz w:val="20"/>
          <w:szCs w:val="20"/>
        </w:rPr>
      </w:pPr>
    </w:p>
    <w:p w14:paraId="4C3D687A" w14:textId="77777777" w:rsidR="003D3CFE" w:rsidRPr="002457CA" w:rsidRDefault="00273214" w:rsidP="002457CA">
      <w:pPr>
        <w:spacing w:after="0" w:line="240" w:lineRule="auto"/>
        <w:jc w:val="both"/>
        <w:rPr>
          <w:rFonts w:cstheme="minorHAnsi"/>
          <w:b/>
          <w:color w:val="000000" w:themeColor="text1"/>
        </w:rPr>
      </w:pPr>
      <w:r w:rsidRPr="002457CA">
        <w:rPr>
          <w:rFonts w:cstheme="minorHAnsi"/>
          <w:b/>
          <w:color w:val="000000" w:themeColor="text1"/>
        </w:rPr>
        <w:t>How can we measure for frailty?</w:t>
      </w:r>
    </w:p>
    <w:p w14:paraId="6ADDE549" w14:textId="6417692C" w:rsidR="001A49E0" w:rsidRDefault="001A49E0" w:rsidP="002457CA">
      <w:pPr>
        <w:spacing w:after="0" w:line="240" w:lineRule="auto"/>
        <w:jc w:val="both"/>
        <w:rPr>
          <w:rFonts w:cstheme="minorHAnsi"/>
          <w:color w:val="000000" w:themeColor="text1"/>
          <w:sz w:val="20"/>
          <w:szCs w:val="20"/>
        </w:rPr>
      </w:pPr>
      <w:r w:rsidRPr="002457CA">
        <w:rPr>
          <w:rFonts w:cstheme="minorHAnsi"/>
          <w:color w:val="000000" w:themeColor="text1"/>
          <w:sz w:val="20"/>
          <w:szCs w:val="20"/>
        </w:rPr>
        <w:t xml:space="preserve">While there is no shortage of frailty tools, not all are formally validated and there appears a lack of consensus in how and when to use them.  Whilst objective frailty assessment informs treatment choice, a range of other factors such as processes of care (number of hospital visits, travel, route of administration, financial concerns) and patient choice, are also taken into account.  </w:t>
      </w:r>
    </w:p>
    <w:p w14:paraId="712A95FF" w14:textId="77777777" w:rsidR="002457CA" w:rsidRPr="002457CA" w:rsidRDefault="002457CA" w:rsidP="002457CA">
      <w:pPr>
        <w:spacing w:after="0" w:line="240" w:lineRule="auto"/>
        <w:jc w:val="both"/>
        <w:rPr>
          <w:rFonts w:cstheme="minorHAnsi"/>
          <w:color w:val="000000" w:themeColor="text1"/>
          <w:sz w:val="20"/>
          <w:szCs w:val="20"/>
        </w:rPr>
      </w:pPr>
    </w:p>
    <w:tbl>
      <w:tblPr>
        <w:tblStyle w:val="TableGrid"/>
        <w:tblW w:w="10060" w:type="dxa"/>
        <w:tblLook w:val="04A0" w:firstRow="1" w:lastRow="0" w:firstColumn="1" w:lastColumn="0" w:noHBand="0" w:noVBand="1"/>
      </w:tblPr>
      <w:tblGrid>
        <w:gridCol w:w="3488"/>
        <w:gridCol w:w="4239"/>
        <w:gridCol w:w="2333"/>
      </w:tblGrid>
      <w:tr w:rsidR="002457CA" w:rsidRPr="002457CA" w14:paraId="15A7C940" w14:textId="77777777" w:rsidTr="007F6D64">
        <w:trPr>
          <w:trHeight w:val="393"/>
        </w:trPr>
        <w:tc>
          <w:tcPr>
            <w:tcW w:w="10060" w:type="dxa"/>
            <w:gridSpan w:val="3"/>
            <w:shd w:val="clear" w:color="auto" w:fill="D5DCE4" w:themeFill="text2" w:themeFillTint="33"/>
          </w:tcPr>
          <w:p w14:paraId="5DB220F9" w14:textId="77777777" w:rsidR="005E1D46" w:rsidRPr="002457CA" w:rsidRDefault="005E1D46" w:rsidP="002457CA">
            <w:pPr>
              <w:jc w:val="both"/>
              <w:rPr>
                <w:rFonts w:cstheme="minorHAnsi"/>
                <w:b/>
                <w:color w:val="000000" w:themeColor="text1"/>
                <w:sz w:val="20"/>
                <w:szCs w:val="20"/>
              </w:rPr>
            </w:pPr>
            <w:r w:rsidRPr="002457CA">
              <w:rPr>
                <w:rFonts w:cstheme="minorHAnsi"/>
                <w:b/>
                <w:color w:val="000000" w:themeColor="text1"/>
                <w:sz w:val="20"/>
                <w:szCs w:val="20"/>
              </w:rPr>
              <w:t>Frailty Assessment Tools in Multiple Myeloma</w:t>
            </w:r>
          </w:p>
        </w:tc>
      </w:tr>
      <w:tr w:rsidR="002457CA" w:rsidRPr="002457CA" w14:paraId="03694395" w14:textId="77777777" w:rsidTr="003D7B07">
        <w:trPr>
          <w:trHeight w:val="396"/>
        </w:trPr>
        <w:tc>
          <w:tcPr>
            <w:tcW w:w="3256" w:type="dxa"/>
          </w:tcPr>
          <w:p w14:paraId="60E05917" w14:textId="77777777" w:rsidR="005E1D46" w:rsidRPr="002457CA" w:rsidRDefault="005E1D46" w:rsidP="002457CA">
            <w:pPr>
              <w:jc w:val="both"/>
              <w:rPr>
                <w:rFonts w:cstheme="minorHAnsi"/>
                <w:b/>
                <w:color w:val="000000" w:themeColor="text1"/>
                <w:sz w:val="20"/>
                <w:szCs w:val="20"/>
              </w:rPr>
            </w:pPr>
            <w:r w:rsidRPr="002457CA">
              <w:rPr>
                <w:rFonts w:cstheme="minorHAnsi"/>
                <w:b/>
                <w:color w:val="000000" w:themeColor="text1"/>
                <w:sz w:val="20"/>
                <w:szCs w:val="20"/>
              </w:rPr>
              <w:t>Tool</w:t>
            </w:r>
          </w:p>
        </w:tc>
        <w:tc>
          <w:tcPr>
            <w:tcW w:w="4394" w:type="dxa"/>
          </w:tcPr>
          <w:p w14:paraId="19C6B414" w14:textId="77777777" w:rsidR="005E1D46" w:rsidRPr="002457CA" w:rsidRDefault="005E1D46" w:rsidP="002457CA">
            <w:pPr>
              <w:jc w:val="both"/>
              <w:rPr>
                <w:rFonts w:cstheme="minorHAnsi"/>
                <w:b/>
                <w:color w:val="000000" w:themeColor="text1"/>
                <w:sz w:val="20"/>
                <w:szCs w:val="20"/>
              </w:rPr>
            </w:pPr>
            <w:r w:rsidRPr="002457CA">
              <w:rPr>
                <w:rFonts w:cstheme="minorHAnsi"/>
                <w:b/>
                <w:color w:val="000000" w:themeColor="text1"/>
                <w:sz w:val="20"/>
                <w:szCs w:val="20"/>
              </w:rPr>
              <w:t>Factors reviewed</w:t>
            </w:r>
          </w:p>
        </w:tc>
        <w:tc>
          <w:tcPr>
            <w:tcW w:w="2410" w:type="dxa"/>
          </w:tcPr>
          <w:p w14:paraId="76F72C3E" w14:textId="77777777" w:rsidR="005E1D46" w:rsidRPr="002457CA" w:rsidRDefault="005E1D46" w:rsidP="002457CA">
            <w:pPr>
              <w:jc w:val="both"/>
              <w:rPr>
                <w:rFonts w:cstheme="minorHAnsi"/>
                <w:b/>
                <w:color w:val="000000" w:themeColor="text1"/>
                <w:sz w:val="20"/>
                <w:szCs w:val="20"/>
              </w:rPr>
            </w:pPr>
            <w:r w:rsidRPr="002457CA">
              <w:rPr>
                <w:rFonts w:cstheme="minorHAnsi"/>
                <w:b/>
                <w:color w:val="000000" w:themeColor="text1"/>
                <w:sz w:val="20"/>
                <w:szCs w:val="20"/>
              </w:rPr>
              <w:t>Comments</w:t>
            </w:r>
          </w:p>
        </w:tc>
      </w:tr>
      <w:tr w:rsidR="002457CA" w:rsidRPr="002457CA" w14:paraId="4A408FB2" w14:textId="77777777" w:rsidTr="003D7B07">
        <w:trPr>
          <w:trHeight w:val="983"/>
        </w:trPr>
        <w:tc>
          <w:tcPr>
            <w:tcW w:w="3256" w:type="dxa"/>
          </w:tcPr>
          <w:p w14:paraId="785264BF"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IMWG Frailty Index</w:t>
            </w:r>
          </w:p>
          <w:p w14:paraId="0BEFE761" w14:textId="77777777" w:rsidR="005E1D46" w:rsidRPr="002457CA" w:rsidRDefault="000105D7" w:rsidP="002457CA">
            <w:pPr>
              <w:jc w:val="both"/>
              <w:rPr>
                <w:rFonts w:cstheme="minorHAnsi"/>
                <w:color w:val="000000" w:themeColor="text1"/>
                <w:sz w:val="20"/>
                <w:szCs w:val="20"/>
              </w:rPr>
            </w:pPr>
            <w:hyperlink r:id="rId6" w:history="1">
              <w:r w:rsidR="005E1D46" w:rsidRPr="002457CA">
                <w:rPr>
                  <w:rStyle w:val="Hyperlink"/>
                  <w:rFonts w:cstheme="minorHAnsi"/>
                  <w:color w:val="000000" w:themeColor="text1"/>
                  <w:sz w:val="20"/>
                  <w:szCs w:val="20"/>
                </w:rPr>
                <w:t>www.myelomafrailtyscorecalculator.net</w:t>
              </w:r>
            </w:hyperlink>
          </w:p>
          <w:p w14:paraId="0D8C2E9C" w14:textId="77777777" w:rsidR="005E1D46" w:rsidRPr="002457CA" w:rsidRDefault="005E1D46" w:rsidP="002457CA">
            <w:pPr>
              <w:jc w:val="both"/>
              <w:rPr>
                <w:rFonts w:cstheme="minorHAnsi"/>
                <w:color w:val="000000" w:themeColor="text1"/>
                <w:sz w:val="20"/>
                <w:szCs w:val="20"/>
              </w:rPr>
            </w:pPr>
          </w:p>
        </w:tc>
        <w:tc>
          <w:tcPr>
            <w:tcW w:w="4394" w:type="dxa"/>
          </w:tcPr>
          <w:p w14:paraId="55E4DD41"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Age</w:t>
            </w:r>
          </w:p>
          <w:p w14:paraId="4808E480"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Activities of Daily Living (ADL)</w:t>
            </w:r>
          </w:p>
          <w:p w14:paraId="1832CCD5"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Instrumental Activities of Daily Living (IADL)</w:t>
            </w:r>
          </w:p>
          <w:p w14:paraId="6FE8C20C" w14:textId="77777777" w:rsidR="005E1D46" w:rsidRPr="002457CA" w:rsidRDefault="005E1D46" w:rsidP="002457CA">
            <w:pPr>
              <w:jc w:val="both"/>
              <w:rPr>
                <w:rFonts w:cstheme="minorHAnsi"/>
                <w:color w:val="000000" w:themeColor="text1"/>
                <w:sz w:val="20"/>
                <w:szCs w:val="20"/>
              </w:rPr>
            </w:pPr>
            <w:proofErr w:type="spellStart"/>
            <w:r w:rsidRPr="002457CA">
              <w:rPr>
                <w:rFonts w:cstheme="minorHAnsi"/>
                <w:color w:val="000000" w:themeColor="text1"/>
                <w:sz w:val="20"/>
                <w:szCs w:val="20"/>
              </w:rPr>
              <w:t>Charlson</w:t>
            </w:r>
            <w:proofErr w:type="spellEnd"/>
            <w:r w:rsidRPr="002457CA">
              <w:rPr>
                <w:rFonts w:cstheme="minorHAnsi"/>
                <w:color w:val="000000" w:themeColor="text1"/>
                <w:sz w:val="20"/>
                <w:szCs w:val="20"/>
              </w:rPr>
              <w:t xml:space="preserve"> Comorbidity Index (CCI)</w:t>
            </w:r>
          </w:p>
          <w:p w14:paraId="4F6928D1" w14:textId="77777777" w:rsidR="005E1D46" w:rsidRPr="002457CA" w:rsidRDefault="000105D7" w:rsidP="002457CA">
            <w:pPr>
              <w:jc w:val="both"/>
              <w:rPr>
                <w:rFonts w:cstheme="minorHAnsi"/>
                <w:color w:val="000000" w:themeColor="text1"/>
                <w:sz w:val="20"/>
                <w:szCs w:val="20"/>
              </w:rPr>
            </w:pPr>
            <w:hyperlink r:id="rId7" w:history="1">
              <w:r w:rsidR="005E1D46" w:rsidRPr="002457CA">
                <w:rPr>
                  <w:rStyle w:val="Hyperlink"/>
                  <w:rFonts w:cstheme="minorHAnsi"/>
                  <w:color w:val="000000" w:themeColor="text1"/>
                  <w:sz w:val="20"/>
                  <w:szCs w:val="20"/>
                </w:rPr>
                <w:t>www.mdcalc.com/charlson-comorbidity-index-cci</w:t>
              </w:r>
            </w:hyperlink>
          </w:p>
          <w:p w14:paraId="104FA77B" w14:textId="77777777" w:rsidR="005E1D46" w:rsidRPr="002457CA" w:rsidRDefault="005E1D46" w:rsidP="002457CA">
            <w:pPr>
              <w:jc w:val="both"/>
              <w:rPr>
                <w:rFonts w:cstheme="minorHAnsi"/>
                <w:color w:val="000000" w:themeColor="text1"/>
                <w:sz w:val="20"/>
                <w:szCs w:val="20"/>
              </w:rPr>
            </w:pPr>
          </w:p>
        </w:tc>
        <w:tc>
          <w:tcPr>
            <w:tcW w:w="2410" w:type="dxa"/>
          </w:tcPr>
          <w:p w14:paraId="5AD8CD15" w14:textId="77777777" w:rsidR="005E1D46" w:rsidRPr="002457CA" w:rsidRDefault="00A6492E" w:rsidP="0058596F">
            <w:pPr>
              <w:rPr>
                <w:rFonts w:cstheme="minorHAnsi"/>
                <w:color w:val="000000" w:themeColor="text1"/>
                <w:sz w:val="20"/>
                <w:szCs w:val="20"/>
              </w:rPr>
            </w:pPr>
            <w:r w:rsidRPr="002457CA">
              <w:rPr>
                <w:rFonts w:cstheme="minorHAnsi"/>
                <w:color w:val="000000" w:themeColor="text1"/>
                <w:sz w:val="20"/>
                <w:szCs w:val="20"/>
              </w:rPr>
              <w:t xml:space="preserve">MM specific tool. Incorporating assessment of comorbidities alongside daily functioning. Widely reported in MM studies, online calculator available, relatively quick. </w:t>
            </w:r>
          </w:p>
        </w:tc>
      </w:tr>
      <w:tr w:rsidR="002457CA" w:rsidRPr="002457CA" w14:paraId="339D9C6A" w14:textId="77777777" w:rsidTr="003D7B07">
        <w:trPr>
          <w:trHeight w:val="1550"/>
        </w:trPr>
        <w:tc>
          <w:tcPr>
            <w:tcW w:w="3256" w:type="dxa"/>
          </w:tcPr>
          <w:p w14:paraId="29D57D2D"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Revised Myeloma Comorbidity Index</w:t>
            </w:r>
          </w:p>
          <w:p w14:paraId="7E2FF532"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(R-MCI)</w:t>
            </w:r>
          </w:p>
          <w:p w14:paraId="10DE74CE" w14:textId="77777777" w:rsidR="005E1D46" w:rsidRPr="002457CA" w:rsidRDefault="000105D7" w:rsidP="002457CA">
            <w:pPr>
              <w:jc w:val="both"/>
              <w:rPr>
                <w:rFonts w:cstheme="minorHAnsi"/>
                <w:color w:val="000000" w:themeColor="text1"/>
                <w:sz w:val="20"/>
                <w:szCs w:val="20"/>
              </w:rPr>
            </w:pPr>
            <w:hyperlink r:id="rId8" w:history="1">
              <w:r w:rsidR="005E1D46" w:rsidRPr="002457CA">
                <w:rPr>
                  <w:rStyle w:val="Hyperlink"/>
                  <w:rFonts w:cstheme="minorHAnsi"/>
                  <w:color w:val="000000" w:themeColor="text1"/>
                  <w:sz w:val="20"/>
                  <w:szCs w:val="20"/>
                </w:rPr>
                <w:t>www.myelomacomorbidityindex.org</w:t>
              </w:r>
            </w:hyperlink>
          </w:p>
          <w:p w14:paraId="4133BD35" w14:textId="77777777" w:rsidR="005E1D46" w:rsidRPr="002457CA" w:rsidRDefault="005E1D46" w:rsidP="002457CA">
            <w:pPr>
              <w:jc w:val="both"/>
              <w:rPr>
                <w:rFonts w:cstheme="minorHAnsi"/>
                <w:color w:val="000000" w:themeColor="text1"/>
                <w:sz w:val="20"/>
                <w:szCs w:val="20"/>
              </w:rPr>
            </w:pPr>
          </w:p>
        </w:tc>
        <w:tc>
          <w:tcPr>
            <w:tcW w:w="4394" w:type="dxa"/>
          </w:tcPr>
          <w:p w14:paraId="78EE60D5"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Age</w:t>
            </w:r>
          </w:p>
          <w:p w14:paraId="6C05CFA0"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KPS</w:t>
            </w:r>
          </w:p>
          <w:p w14:paraId="35FB1DE5"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eGFR</w:t>
            </w:r>
          </w:p>
          <w:p w14:paraId="7DB69BE6"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PFT</w:t>
            </w:r>
          </w:p>
          <w:p w14:paraId="6187D238"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Fragility</w:t>
            </w:r>
          </w:p>
          <w:p w14:paraId="32989E5D"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Cytogenetics</w:t>
            </w:r>
          </w:p>
        </w:tc>
        <w:tc>
          <w:tcPr>
            <w:tcW w:w="2410" w:type="dxa"/>
          </w:tcPr>
          <w:p w14:paraId="24001E78" w14:textId="608D122D" w:rsidR="005E1D46" w:rsidRPr="002457CA" w:rsidRDefault="00A6492E" w:rsidP="0058596F">
            <w:pPr>
              <w:rPr>
                <w:rFonts w:cstheme="minorHAnsi"/>
                <w:color w:val="000000" w:themeColor="text1"/>
                <w:sz w:val="20"/>
                <w:szCs w:val="20"/>
              </w:rPr>
            </w:pPr>
            <w:r w:rsidRPr="002457CA">
              <w:rPr>
                <w:rFonts w:cstheme="minorHAnsi"/>
                <w:color w:val="000000" w:themeColor="text1"/>
                <w:sz w:val="20"/>
                <w:szCs w:val="20"/>
              </w:rPr>
              <w:t xml:space="preserve">MM specific tool. </w:t>
            </w:r>
            <w:r w:rsidR="009D3ABF">
              <w:rPr>
                <w:rFonts w:cstheme="minorHAnsi"/>
                <w:color w:val="000000" w:themeColor="text1"/>
                <w:sz w:val="20"/>
                <w:szCs w:val="20"/>
              </w:rPr>
              <w:t xml:space="preserve">Incorporating additional biological markers and performance measure. </w:t>
            </w:r>
          </w:p>
        </w:tc>
      </w:tr>
      <w:tr w:rsidR="002457CA" w:rsidRPr="002457CA" w14:paraId="043079CC" w14:textId="77777777" w:rsidTr="003D7B07">
        <w:trPr>
          <w:trHeight w:val="995"/>
        </w:trPr>
        <w:tc>
          <w:tcPr>
            <w:tcW w:w="3256" w:type="dxa"/>
          </w:tcPr>
          <w:p w14:paraId="4086588A"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lastRenderedPageBreak/>
              <w:t>Mayo Frailty Index</w:t>
            </w:r>
          </w:p>
        </w:tc>
        <w:tc>
          <w:tcPr>
            <w:tcW w:w="4394" w:type="dxa"/>
          </w:tcPr>
          <w:p w14:paraId="7CFF6B4A"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Age</w:t>
            </w:r>
          </w:p>
          <w:p w14:paraId="6DC3E8D2"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ECOG PS</w:t>
            </w:r>
          </w:p>
          <w:p w14:paraId="0FC7B2B5"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NT-Pro-BNP</w:t>
            </w:r>
          </w:p>
        </w:tc>
        <w:tc>
          <w:tcPr>
            <w:tcW w:w="2410" w:type="dxa"/>
          </w:tcPr>
          <w:p w14:paraId="7B1F8B50" w14:textId="77777777" w:rsidR="005E1D46" w:rsidRPr="002457CA" w:rsidRDefault="00A6492E" w:rsidP="0058596F">
            <w:pPr>
              <w:rPr>
                <w:rFonts w:cstheme="minorHAnsi"/>
                <w:color w:val="000000" w:themeColor="text1"/>
                <w:sz w:val="20"/>
                <w:szCs w:val="20"/>
              </w:rPr>
            </w:pPr>
            <w:r w:rsidRPr="002457CA">
              <w:rPr>
                <w:rFonts w:cstheme="minorHAnsi"/>
                <w:color w:val="000000" w:themeColor="text1"/>
                <w:sz w:val="20"/>
                <w:szCs w:val="20"/>
              </w:rPr>
              <w:t xml:space="preserve">MM specific tool. </w:t>
            </w:r>
            <w:r w:rsidR="005E1D46" w:rsidRPr="002457CA">
              <w:rPr>
                <w:rFonts w:cstheme="minorHAnsi"/>
                <w:color w:val="000000" w:themeColor="text1"/>
                <w:sz w:val="20"/>
                <w:szCs w:val="20"/>
              </w:rPr>
              <w:t>Simple</w:t>
            </w:r>
            <w:r w:rsidRPr="002457CA">
              <w:rPr>
                <w:rFonts w:cstheme="minorHAnsi"/>
                <w:color w:val="000000" w:themeColor="text1"/>
                <w:sz w:val="20"/>
                <w:szCs w:val="20"/>
              </w:rPr>
              <w:t>, objective tool, predicts survival independent of age and performance status.</w:t>
            </w:r>
          </w:p>
        </w:tc>
      </w:tr>
      <w:tr w:rsidR="002457CA" w:rsidRPr="002457CA" w14:paraId="776790D4" w14:textId="77777777" w:rsidTr="003D7B07">
        <w:trPr>
          <w:trHeight w:val="271"/>
        </w:trPr>
        <w:tc>
          <w:tcPr>
            <w:tcW w:w="3256" w:type="dxa"/>
          </w:tcPr>
          <w:p w14:paraId="52BD32CB"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 xml:space="preserve">UK Myeloma Research Alliance Risk Profile (MRP) </w:t>
            </w:r>
          </w:p>
        </w:tc>
        <w:tc>
          <w:tcPr>
            <w:tcW w:w="4394" w:type="dxa"/>
          </w:tcPr>
          <w:p w14:paraId="3F526B9D"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WHO PS (ECOG)</w:t>
            </w:r>
          </w:p>
          <w:p w14:paraId="57F74604"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ISS</w:t>
            </w:r>
          </w:p>
          <w:p w14:paraId="4445FB71"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Age</w:t>
            </w:r>
          </w:p>
          <w:p w14:paraId="4BCBFEC8"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CRP</w:t>
            </w:r>
          </w:p>
        </w:tc>
        <w:tc>
          <w:tcPr>
            <w:tcW w:w="2410" w:type="dxa"/>
          </w:tcPr>
          <w:p w14:paraId="6BFA2B9A" w14:textId="77777777" w:rsidR="005E1D46" w:rsidRPr="002457CA" w:rsidRDefault="005E1D46" w:rsidP="0058596F">
            <w:pPr>
              <w:rPr>
                <w:rFonts w:cstheme="minorHAnsi"/>
                <w:color w:val="000000" w:themeColor="text1"/>
                <w:sz w:val="20"/>
                <w:szCs w:val="20"/>
              </w:rPr>
            </w:pPr>
            <w:r w:rsidRPr="002457CA">
              <w:rPr>
                <w:rFonts w:cstheme="minorHAnsi"/>
                <w:color w:val="000000" w:themeColor="text1"/>
                <w:sz w:val="20"/>
                <w:szCs w:val="20"/>
              </w:rPr>
              <w:t>MM specific</w:t>
            </w:r>
            <w:r w:rsidR="00A6492E" w:rsidRPr="002457CA">
              <w:rPr>
                <w:rFonts w:cstheme="minorHAnsi"/>
                <w:color w:val="000000" w:themeColor="text1"/>
                <w:sz w:val="20"/>
                <w:szCs w:val="20"/>
              </w:rPr>
              <w:t xml:space="preserve"> tool.</w:t>
            </w:r>
            <w:r w:rsidRPr="002457CA">
              <w:rPr>
                <w:rFonts w:cstheme="minorHAnsi"/>
                <w:color w:val="000000" w:themeColor="text1"/>
                <w:sz w:val="20"/>
                <w:szCs w:val="20"/>
              </w:rPr>
              <w:t xml:space="preserve"> </w:t>
            </w:r>
            <w:r w:rsidR="005630EF" w:rsidRPr="002457CA">
              <w:rPr>
                <w:rFonts w:cstheme="minorHAnsi"/>
                <w:color w:val="000000" w:themeColor="text1"/>
                <w:sz w:val="20"/>
                <w:szCs w:val="20"/>
              </w:rPr>
              <w:t xml:space="preserve">Objective markers, quick to complete. </w:t>
            </w:r>
          </w:p>
        </w:tc>
      </w:tr>
      <w:tr w:rsidR="002457CA" w:rsidRPr="002457CA" w14:paraId="7CBA2B9A" w14:textId="77777777" w:rsidTr="003D7B07">
        <w:trPr>
          <w:trHeight w:val="271"/>
        </w:trPr>
        <w:tc>
          <w:tcPr>
            <w:tcW w:w="3256" w:type="dxa"/>
          </w:tcPr>
          <w:p w14:paraId="5B2C05C8" w14:textId="77777777" w:rsidR="005E1D46" w:rsidRPr="002457CA" w:rsidRDefault="005E1D46" w:rsidP="002457CA">
            <w:pPr>
              <w:tabs>
                <w:tab w:val="left" w:pos="3040"/>
              </w:tabs>
              <w:jc w:val="both"/>
              <w:rPr>
                <w:rFonts w:cstheme="minorHAnsi"/>
                <w:color w:val="000000" w:themeColor="text1"/>
                <w:sz w:val="20"/>
                <w:szCs w:val="20"/>
              </w:rPr>
            </w:pPr>
            <w:r w:rsidRPr="002457CA">
              <w:rPr>
                <w:rFonts w:cstheme="minorHAnsi"/>
                <w:color w:val="000000" w:themeColor="text1"/>
                <w:sz w:val="20"/>
                <w:szCs w:val="20"/>
              </w:rPr>
              <w:t>Comprehensive Geriatric Assessment (CGA)</w:t>
            </w:r>
          </w:p>
        </w:tc>
        <w:tc>
          <w:tcPr>
            <w:tcW w:w="4394" w:type="dxa"/>
          </w:tcPr>
          <w:p w14:paraId="42E6B1BB" w14:textId="77777777" w:rsidR="005E1D46" w:rsidRPr="002457CA" w:rsidRDefault="005E1D46" w:rsidP="002457CA">
            <w:pPr>
              <w:jc w:val="both"/>
              <w:rPr>
                <w:rFonts w:cstheme="minorHAnsi"/>
                <w:color w:val="000000" w:themeColor="text1"/>
                <w:sz w:val="20"/>
                <w:szCs w:val="20"/>
              </w:rPr>
            </w:pPr>
            <w:r w:rsidRPr="002457CA">
              <w:rPr>
                <w:rFonts w:cstheme="minorHAnsi"/>
                <w:color w:val="000000" w:themeColor="text1"/>
                <w:sz w:val="20"/>
                <w:szCs w:val="20"/>
              </w:rPr>
              <w:t xml:space="preserve">Comorbidities, functional status, medications (including polypharmacy and inappropriate medication), cognition, psychological status, social support. </w:t>
            </w:r>
          </w:p>
          <w:p w14:paraId="273D383D" w14:textId="77777777" w:rsidR="005E1D46" w:rsidRPr="002457CA" w:rsidRDefault="005E1D46" w:rsidP="002457CA">
            <w:pPr>
              <w:jc w:val="both"/>
              <w:rPr>
                <w:rFonts w:cstheme="minorHAnsi"/>
                <w:color w:val="000000" w:themeColor="text1"/>
                <w:sz w:val="20"/>
                <w:szCs w:val="20"/>
              </w:rPr>
            </w:pPr>
          </w:p>
        </w:tc>
        <w:tc>
          <w:tcPr>
            <w:tcW w:w="2410" w:type="dxa"/>
          </w:tcPr>
          <w:p w14:paraId="72A345D0" w14:textId="77777777" w:rsidR="005E1D46" w:rsidRPr="002457CA" w:rsidRDefault="005E1D46" w:rsidP="0058596F">
            <w:pPr>
              <w:rPr>
                <w:rFonts w:cstheme="minorHAnsi"/>
                <w:color w:val="000000" w:themeColor="text1"/>
                <w:sz w:val="20"/>
                <w:szCs w:val="20"/>
              </w:rPr>
            </w:pPr>
            <w:r w:rsidRPr="002457CA">
              <w:rPr>
                <w:rFonts w:cstheme="minorHAnsi"/>
                <w:color w:val="000000" w:themeColor="text1"/>
                <w:sz w:val="20"/>
                <w:szCs w:val="20"/>
              </w:rPr>
              <w:t xml:space="preserve">Generic tool, comprehensive but complex to undertake and time-consuming </w:t>
            </w:r>
          </w:p>
        </w:tc>
      </w:tr>
    </w:tbl>
    <w:p w14:paraId="0D27BAA5" w14:textId="77777777" w:rsidR="00AE3E64" w:rsidRPr="002457CA" w:rsidRDefault="00AE3E64" w:rsidP="002457CA">
      <w:pPr>
        <w:spacing w:after="0" w:line="240" w:lineRule="auto"/>
        <w:jc w:val="both"/>
        <w:rPr>
          <w:rFonts w:cstheme="minorHAnsi"/>
          <w:color w:val="000000" w:themeColor="text1"/>
          <w:sz w:val="20"/>
          <w:szCs w:val="20"/>
        </w:rPr>
      </w:pPr>
    </w:p>
    <w:p w14:paraId="482FFD9E" w14:textId="51EC486F" w:rsidR="001B682D" w:rsidRPr="002457CA" w:rsidRDefault="001B682D" w:rsidP="002457CA">
      <w:pPr>
        <w:pStyle w:val="NormalWeb"/>
        <w:spacing w:before="0" w:beforeAutospacing="0" w:after="0" w:afterAutospacing="0"/>
        <w:jc w:val="both"/>
        <w:rPr>
          <w:rFonts w:asciiTheme="minorHAnsi" w:eastAsiaTheme="minorEastAsia" w:hAnsiTheme="minorHAnsi" w:cstheme="minorHAnsi"/>
          <w:i/>
          <w:color w:val="000000" w:themeColor="text1"/>
          <w:kern w:val="24"/>
          <w:sz w:val="16"/>
          <w:szCs w:val="16"/>
          <w:lang w:val="en-US"/>
        </w:rPr>
      </w:pPr>
      <w:r w:rsidRPr="002457CA">
        <w:rPr>
          <w:rFonts w:asciiTheme="minorHAnsi" w:eastAsiaTheme="minorEastAsia" w:hAnsiTheme="minorHAnsi" w:cstheme="minorHAnsi"/>
          <w:i/>
          <w:color w:val="000000" w:themeColor="text1"/>
          <w:kern w:val="24"/>
          <w:sz w:val="16"/>
          <w:szCs w:val="16"/>
          <w:lang w:val="en-US"/>
        </w:rPr>
        <w:t xml:space="preserve">ADL Activity of Daily Living, IADL Instrumental Activity of Daily Living, CCI </w:t>
      </w:r>
      <w:proofErr w:type="spellStart"/>
      <w:r w:rsidRPr="002457CA">
        <w:rPr>
          <w:rFonts w:asciiTheme="minorHAnsi" w:eastAsiaTheme="minorEastAsia" w:hAnsiTheme="minorHAnsi" w:cstheme="minorHAnsi"/>
          <w:i/>
          <w:color w:val="000000" w:themeColor="text1"/>
          <w:kern w:val="24"/>
          <w:sz w:val="16"/>
          <w:szCs w:val="16"/>
          <w:lang w:val="en-US"/>
        </w:rPr>
        <w:t>Charlson</w:t>
      </w:r>
      <w:proofErr w:type="spellEnd"/>
      <w:r w:rsidRPr="002457CA">
        <w:rPr>
          <w:rFonts w:asciiTheme="minorHAnsi" w:eastAsiaTheme="minorEastAsia" w:hAnsiTheme="minorHAnsi" w:cstheme="minorHAnsi"/>
          <w:i/>
          <w:color w:val="000000" w:themeColor="text1"/>
          <w:kern w:val="24"/>
          <w:sz w:val="16"/>
          <w:szCs w:val="16"/>
          <w:lang w:val="en-US"/>
        </w:rPr>
        <w:t xml:space="preserve"> Comorbidity Index, KPS </w:t>
      </w:r>
      <w:proofErr w:type="spellStart"/>
      <w:r w:rsidRPr="002457CA">
        <w:rPr>
          <w:rFonts w:asciiTheme="minorHAnsi" w:eastAsiaTheme="minorEastAsia" w:hAnsiTheme="minorHAnsi" w:cstheme="minorHAnsi"/>
          <w:i/>
          <w:color w:val="000000" w:themeColor="text1"/>
          <w:kern w:val="24"/>
          <w:sz w:val="16"/>
          <w:szCs w:val="16"/>
          <w:lang w:val="en-US"/>
        </w:rPr>
        <w:t>Karnofsky</w:t>
      </w:r>
      <w:proofErr w:type="spellEnd"/>
      <w:r w:rsidRPr="002457CA">
        <w:rPr>
          <w:rFonts w:asciiTheme="minorHAnsi" w:eastAsiaTheme="minorEastAsia" w:hAnsiTheme="minorHAnsi" w:cstheme="minorHAnsi"/>
          <w:i/>
          <w:color w:val="000000" w:themeColor="text1"/>
          <w:kern w:val="24"/>
          <w:sz w:val="16"/>
          <w:szCs w:val="16"/>
          <w:lang w:val="en-US"/>
        </w:rPr>
        <w:t xml:space="preserve"> Performance Status, eGFR estimated glomerular filtration rate, PFTs pulmonary function tests, ECOG-PS Eastern Cooperative Oncology Group performance status (also known as WHO PS) NT-</w:t>
      </w:r>
      <w:proofErr w:type="spellStart"/>
      <w:r w:rsidRPr="002457CA">
        <w:rPr>
          <w:rFonts w:asciiTheme="minorHAnsi" w:eastAsiaTheme="minorEastAsia" w:hAnsiTheme="minorHAnsi" w:cstheme="minorHAnsi"/>
          <w:i/>
          <w:color w:val="000000" w:themeColor="text1"/>
          <w:kern w:val="24"/>
          <w:sz w:val="16"/>
          <w:szCs w:val="16"/>
          <w:lang w:val="en-US"/>
        </w:rPr>
        <w:t>proBNP</w:t>
      </w:r>
      <w:proofErr w:type="spellEnd"/>
      <w:r w:rsidRPr="002457CA">
        <w:rPr>
          <w:rFonts w:asciiTheme="minorHAnsi" w:eastAsiaTheme="minorEastAsia" w:hAnsiTheme="minorHAnsi" w:cstheme="minorHAnsi"/>
          <w:i/>
          <w:color w:val="000000" w:themeColor="text1"/>
          <w:kern w:val="24"/>
          <w:sz w:val="16"/>
          <w:szCs w:val="16"/>
          <w:lang w:val="en-US"/>
        </w:rPr>
        <w:t xml:space="preserve"> N-terminal natriuretic peptide type B; ISS International Staging System</w:t>
      </w:r>
      <w:r w:rsidR="005E1D46" w:rsidRPr="002457CA">
        <w:rPr>
          <w:rFonts w:asciiTheme="minorHAnsi" w:eastAsiaTheme="minorEastAsia" w:hAnsiTheme="minorHAnsi" w:cstheme="minorHAnsi"/>
          <w:i/>
          <w:color w:val="000000" w:themeColor="text1"/>
          <w:kern w:val="24"/>
          <w:sz w:val="16"/>
          <w:szCs w:val="16"/>
          <w:lang w:val="en-US"/>
        </w:rPr>
        <w:t>; CRP C-reactive protein</w:t>
      </w:r>
    </w:p>
    <w:p w14:paraId="742180A5" w14:textId="77777777" w:rsidR="00273214" w:rsidRPr="002457CA" w:rsidRDefault="00273214" w:rsidP="002457CA">
      <w:pPr>
        <w:spacing w:after="0" w:line="240" w:lineRule="auto"/>
        <w:jc w:val="both"/>
        <w:rPr>
          <w:rFonts w:cstheme="minorHAnsi"/>
          <w:b/>
          <w:color w:val="000000" w:themeColor="text1"/>
        </w:rPr>
      </w:pPr>
    </w:p>
    <w:p w14:paraId="44512982" w14:textId="77777777" w:rsidR="00273214" w:rsidRPr="002457CA" w:rsidRDefault="00273214" w:rsidP="002457CA">
      <w:pPr>
        <w:spacing w:after="0" w:line="240" w:lineRule="auto"/>
        <w:jc w:val="both"/>
        <w:rPr>
          <w:rFonts w:cstheme="minorHAnsi"/>
          <w:b/>
          <w:color w:val="000000" w:themeColor="text1"/>
        </w:rPr>
      </w:pPr>
      <w:r w:rsidRPr="002457CA">
        <w:rPr>
          <w:rFonts w:cstheme="minorHAnsi"/>
          <w:b/>
          <w:color w:val="000000" w:themeColor="text1"/>
        </w:rPr>
        <w:t>Why should we measure for frailty?</w:t>
      </w:r>
    </w:p>
    <w:p w14:paraId="78B24BE5" w14:textId="05795586" w:rsidR="00406B76" w:rsidRPr="002457CA" w:rsidRDefault="002267C3" w:rsidP="002457CA">
      <w:pPr>
        <w:spacing w:after="0" w:line="240" w:lineRule="auto"/>
        <w:jc w:val="both"/>
        <w:rPr>
          <w:rFonts w:cstheme="minorHAnsi"/>
          <w:bCs/>
          <w:color w:val="000000" w:themeColor="text1"/>
          <w:sz w:val="20"/>
          <w:szCs w:val="20"/>
        </w:rPr>
      </w:pPr>
      <w:r w:rsidRPr="002457CA">
        <w:rPr>
          <w:rFonts w:cstheme="minorHAnsi"/>
          <w:bCs/>
          <w:color w:val="000000" w:themeColor="text1"/>
          <w:sz w:val="20"/>
          <w:szCs w:val="20"/>
        </w:rPr>
        <w:t>Frailty assessment</w:t>
      </w:r>
      <w:r w:rsidR="007771A4" w:rsidRPr="002457CA">
        <w:rPr>
          <w:rFonts w:cstheme="minorHAnsi"/>
          <w:bCs/>
          <w:color w:val="000000" w:themeColor="text1"/>
          <w:sz w:val="20"/>
          <w:szCs w:val="20"/>
        </w:rPr>
        <w:t xml:space="preserve"> </w:t>
      </w:r>
      <w:r w:rsidRPr="002457CA">
        <w:rPr>
          <w:rFonts w:cstheme="minorHAnsi"/>
          <w:bCs/>
          <w:color w:val="000000" w:themeColor="text1"/>
          <w:sz w:val="20"/>
          <w:szCs w:val="20"/>
        </w:rPr>
        <w:t xml:space="preserve">aims to identify patients with increased care needs or vulnerability that allows clinicians to </w:t>
      </w:r>
      <w:r w:rsidR="005630EF" w:rsidRPr="002457CA">
        <w:rPr>
          <w:rFonts w:cstheme="minorHAnsi"/>
          <w:bCs/>
          <w:color w:val="000000" w:themeColor="text1"/>
          <w:sz w:val="20"/>
          <w:szCs w:val="20"/>
        </w:rPr>
        <w:t>individualise</w:t>
      </w:r>
      <w:r w:rsidRPr="002457CA">
        <w:rPr>
          <w:rFonts w:cstheme="minorHAnsi"/>
          <w:bCs/>
          <w:color w:val="000000" w:themeColor="text1"/>
          <w:sz w:val="20"/>
          <w:szCs w:val="20"/>
        </w:rPr>
        <w:t xml:space="preserve"> treatment approaches (choice of drug combination, dose and scheduling) so as to improve outcomes. </w:t>
      </w:r>
      <w:r w:rsidR="00B31233" w:rsidRPr="002457CA">
        <w:rPr>
          <w:rFonts w:cstheme="minorHAnsi"/>
          <w:color w:val="000000" w:themeColor="text1"/>
          <w:sz w:val="20"/>
          <w:szCs w:val="20"/>
        </w:rPr>
        <w:t>The most recent Clinical Practice Guideline: Multiple Myeloma (Quach &amp; Prince 2019), Myeloma Scientific Advisory Group (MSAG)</w:t>
      </w:r>
      <w:r w:rsidR="00B31233" w:rsidRPr="002457CA">
        <w:rPr>
          <w:rFonts w:cstheme="minorHAnsi"/>
          <w:b/>
          <w:color w:val="000000" w:themeColor="text1"/>
          <w:sz w:val="20"/>
          <w:szCs w:val="20"/>
        </w:rPr>
        <w:t xml:space="preserve"> </w:t>
      </w:r>
      <w:r w:rsidR="00B31233" w:rsidRPr="002457CA">
        <w:rPr>
          <w:rFonts w:cstheme="minorHAnsi"/>
          <w:bCs/>
          <w:color w:val="000000" w:themeColor="text1"/>
          <w:sz w:val="20"/>
          <w:szCs w:val="20"/>
        </w:rPr>
        <w:t xml:space="preserve">lists frailty separately from age, comorbidities and disability, with frailty “variously defined as poor endurance, weakness and low physical activity” (p24). </w:t>
      </w:r>
      <w:r w:rsidR="00406B76" w:rsidRPr="002457CA">
        <w:rPr>
          <w:rFonts w:cstheme="minorHAnsi"/>
          <w:bCs/>
          <w:color w:val="000000" w:themeColor="text1"/>
          <w:sz w:val="20"/>
          <w:szCs w:val="20"/>
        </w:rPr>
        <w:t>The guidelines p</w:t>
      </w:r>
      <w:r w:rsidR="00B31233" w:rsidRPr="002457CA">
        <w:rPr>
          <w:rFonts w:cstheme="minorHAnsi"/>
          <w:bCs/>
          <w:color w:val="000000" w:themeColor="text1"/>
          <w:sz w:val="20"/>
          <w:szCs w:val="20"/>
        </w:rPr>
        <w:t>rovid</w:t>
      </w:r>
      <w:r w:rsidR="00406B76" w:rsidRPr="002457CA">
        <w:rPr>
          <w:rFonts w:cstheme="minorHAnsi"/>
          <w:bCs/>
          <w:color w:val="000000" w:themeColor="text1"/>
          <w:sz w:val="20"/>
          <w:szCs w:val="20"/>
        </w:rPr>
        <w:t>e</w:t>
      </w:r>
      <w:r w:rsidR="00B31233" w:rsidRPr="002457CA">
        <w:rPr>
          <w:rFonts w:cstheme="minorHAnsi"/>
          <w:bCs/>
          <w:color w:val="000000" w:themeColor="text1"/>
          <w:sz w:val="20"/>
          <w:szCs w:val="20"/>
        </w:rPr>
        <w:t xml:space="preserve"> recommendations for the assessment of suitability of elderly patients for the intensity of therapy, </w:t>
      </w:r>
      <w:r w:rsidR="00406B76" w:rsidRPr="002457CA">
        <w:rPr>
          <w:rFonts w:cstheme="minorHAnsi"/>
          <w:bCs/>
          <w:color w:val="000000" w:themeColor="text1"/>
          <w:sz w:val="20"/>
          <w:szCs w:val="20"/>
        </w:rPr>
        <w:t xml:space="preserve">suggesting clinicians determine patient ‘fitness’ </w:t>
      </w:r>
      <w:r w:rsidR="002457CA">
        <w:rPr>
          <w:rFonts w:cstheme="minorHAnsi"/>
          <w:bCs/>
          <w:color w:val="000000" w:themeColor="text1"/>
          <w:sz w:val="20"/>
          <w:szCs w:val="20"/>
        </w:rPr>
        <w:t xml:space="preserve">(fit, intermediate, frail) </w:t>
      </w:r>
      <w:r w:rsidR="00406B76" w:rsidRPr="002457CA">
        <w:rPr>
          <w:rFonts w:cstheme="minorHAnsi"/>
          <w:bCs/>
          <w:color w:val="000000" w:themeColor="text1"/>
          <w:sz w:val="20"/>
          <w:szCs w:val="20"/>
        </w:rPr>
        <w:t>so as to inform treatment choice.</w:t>
      </w:r>
    </w:p>
    <w:p w14:paraId="6B169111" w14:textId="77777777" w:rsidR="00406B76" w:rsidRPr="002457CA" w:rsidRDefault="00406B76" w:rsidP="002457CA">
      <w:pPr>
        <w:spacing w:after="0" w:line="240" w:lineRule="auto"/>
        <w:jc w:val="both"/>
        <w:rPr>
          <w:rFonts w:cstheme="minorHAnsi"/>
          <w:bCs/>
          <w:color w:val="000000" w:themeColor="text1"/>
          <w:sz w:val="20"/>
          <w:szCs w:val="20"/>
        </w:rPr>
      </w:pPr>
    </w:p>
    <w:p w14:paraId="5BC82333" w14:textId="77777777" w:rsidR="00342BF5" w:rsidRPr="002457CA" w:rsidRDefault="005630EF" w:rsidP="002457CA">
      <w:pPr>
        <w:spacing w:after="0" w:line="240" w:lineRule="auto"/>
        <w:jc w:val="both"/>
        <w:rPr>
          <w:rFonts w:cstheme="minorHAnsi"/>
          <w:color w:val="000000" w:themeColor="text1"/>
          <w:sz w:val="20"/>
        </w:rPr>
      </w:pPr>
      <w:r w:rsidRPr="002457CA">
        <w:rPr>
          <w:rFonts w:cstheme="minorHAnsi"/>
          <w:bCs/>
          <w:color w:val="000000" w:themeColor="text1"/>
          <w:sz w:val="20"/>
          <w:szCs w:val="20"/>
        </w:rPr>
        <w:t xml:space="preserve">In </w:t>
      </w:r>
      <w:r w:rsidR="003D7B07" w:rsidRPr="002457CA">
        <w:rPr>
          <w:rFonts w:cstheme="minorHAnsi"/>
          <w:bCs/>
          <w:color w:val="000000" w:themeColor="text1"/>
          <w:sz w:val="20"/>
          <w:szCs w:val="20"/>
        </w:rPr>
        <w:t>the upfront setting,</w:t>
      </w:r>
      <w:r w:rsidRPr="002457CA">
        <w:rPr>
          <w:rFonts w:cstheme="minorHAnsi"/>
          <w:bCs/>
          <w:color w:val="000000" w:themeColor="text1"/>
          <w:sz w:val="20"/>
          <w:szCs w:val="20"/>
        </w:rPr>
        <w:t xml:space="preserve"> induction therapy followed by a</w:t>
      </w:r>
      <w:r w:rsidR="000364D8" w:rsidRPr="002457CA">
        <w:rPr>
          <w:rFonts w:cstheme="minorHAnsi"/>
          <w:bCs/>
          <w:color w:val="000000" w:themeColor="text1"/>
          <w:sz w:val="20"/>
          <w:szCs w:val="20"/>
        </w:rPr>
        <w:t xml:space="preserve">utologous stem cell transplant </w:t>
      </w:r>
      <w:r w:rsidR="003D7B07" w:rsidRPr="002457CA">
        <w:rPr>
          <w:rFonts w:cstheme="minorHAnsi"/>
          <w:bCs/>
          <w:color w:val="000000" w:themeColor="text1"/>
          <w:sz w:val="20"/>
          <w:szCs w:val="20"/>
        </w:rPr>
        <w:t>(</w:t>
      </w:r>
      <w:proofErr w:type="spellStart"/>
      <w:r w:rsidR="003D7B07" w:rsidRPr="002457CA">
        <w:rPr>
          <w:rFonts w:cstheme="minorHAnsi"/>
          <w:bCs/>
          <w:color w:val="000000" w:themeColor="text1"/>
          <w:sz w:val="20"/>
          <w:szCs w:val="20"/>
        </w:rPr>
        <w:t>auSCT</w:t>
      </w:r>
      <w:proofErr w:type="spellEnd"/>
      <w:r w:rsidR="003D7B07" w:rsidRPr="002457CA">
        <w:rPr>
          <w:rFonts w:cstheme="minorHAnsi"/>
          <w:bCs/>
          <w:color w:val="000000" w:themeColor="text1"/>
          <w:sz w:val="20"/>
          <w:szCs w:val="20"/>
        </w:rPr>
        <w:t xml:space="preserve">) </w:t>
      </w:r>
      <w:r w:rsidR="000364D8" w:rsidRPr="002457CA">
        <w:rPr>
          <w:rFonts w:cstheme="minorHAnsi"/>
          <w:bCs/>
          <w:color w:val="000000" w:themeColor="text1"/>
          <w:sz w:val="20"/>
          <w:szCs w:val="20"/>
        </w:rPr>
        <w:t>results in superio</w:t>
      </w:r>
      <w:r w:rsidR="0074206C" w:rsidRPr="002457CA">
        <w:rPr>
          <w:rFonts w:cstheme="minorHAnsi"/>
          <w:bCs/>
          <w:color w:val="000000" w:themeColor="text1"/>
          <w:sz w:val="20"/>
          <w:szCs w:val="20"/>
        </w:rPr>
        <w:t xml:space="preserve">r </w:t>
      </w:r>
      <w:r w:rsidRPr="002457CA">
        <w:rPr>
          <w:rFonts w:cstheme="minorHAnsi"/>
          <w:bCs/>
          <w:color w:val="000000" w:themeColor="text1"/>
          <w:sz w:val="20"/>
          <w:szCs w:val="20"/>
        </w:rPr>
        <w:t xml:space="preserve">survival but can be hard to tolerate due to predictable treatment related toxicities, particularly in those &gt; 70 years of age or with existing comorbidities. Furthermore, </w:t>
      </w:r>
      <w:r w:rsidRPr="002457CA">
        <w:rPr>
          <w:rFonts w:cstheme="minorHAnsi"/>
          <w:color w:val="000000" w:themeColor="text1"/>
          <w:sz w:val="20"/>
        </w:rPr>
        <w:t>patients categorised as frail are more likely to experience grades 3-4 non-haematological toxicity of therapy, early discontinuation of treatment and a shorter OS</w:t>
      </w:r>
      <w:r w:rsidR="003D7B07" w:rsidRPr="002457CA">
        <w:rPr>
          <w:rFonts w:cstheme="minorHAnsi"/>
          <w:color w:val="000000" w:themeColor="text1"/>
          <w:sz w:val="20"/>
        </w:rPr>
        <w:t xml:space="preserve"> </w:t>
      </w:r>
      <w:r w:rsidRPr="002457CA">
        <w:rPr>
          <w:rFonts w:cstheme="minorHAnsi"/>
          <w:color w:val="000000" w:themeColor="text1"/>
          <w:sz w:val="20"/>
        </w:rPr>
        <w:t xml:space="preserve">(Palumbo et al 2015). </w:t>
      </w:r>
      <w:r w:rsidR="003D7B07" w:rsidRPr="002457CA">
        <w:rPr>
          <w:rFonts w:cstheme="minorHAnsi"/>
          <w:color w:val="000000" w:themeColor="text1"/>
          <w:sz w:val="20"/>
        </w:rPr>
        <w:t>D</w:t>
      </w:r>
      <w:r w:rsidRPr="002457CA">
        <w:rPr>
          <w:rFonts w:cstheme="minorHAnsi"/>
          <w:bCs/>
          <w:color w:val="000000" w:themeColor="text1"/>
          <w:sz w:val="20"/>
          <w:szCs w:val="20"/>
        </w:rPr>
        <w:t>etermining</w:t>
      </w:r>
      <w:r w:rsidR="00B6004E" w:rsidRPr="002457CA">
        <w:rPr>
          <w:rFonts w:cstheme="minorHAnsi"/>
          <w:bCs/>
          <w:color w:val="000000" w:themeColor="text1"/>
          <w:sz w:val="20"/>
          <w:szCs w:val="20"/>
        </w:rPr>
        <w:t xml:space="preserve"> e</w:t>
      </w:r>
      <w:r w:rsidR="0074206C" w:rsidRPr="002457CA">
        <w:rPr>
          <w:rFonts w:cstheme="minorHAnsi"/>
          <w:bCs/>
          <w:color w:val="000000" w:themeColor="text1"/>
          <w:sz w:val="20"/>
          <w:szCs w:val="20"/>
        </w:rPr>
        <w:t xml:space="preserve">ligibility </w:t>
      </w:r>
      <w:r w:rsidRPr="002457CA">
        <w:rPr>
          <w:rFonts w:cstheme="minorHAnsi"/>
          <w:bCs/>
          <w:color w:val="000000" w:themeColor="text1"/>
          <w:sz w:val="20"/>
          <w:szCs w:val="20"/>
        </w:rPr>
        <w:t>for</w:t>
      </w:r>
      <w:r w:rsidR="0074206C" w:rsidRPr="002457CA">
        <w:rPr>
          <w:rFonts w:cstheme="minorHAnsi"/>
          <w:bCs/>
          <w:color w:val="000000" w:themeColor="text1"/>
          <w:sz w:val="20"/>
          <w:szCs w:val="20"/>
        </w:rPr>
        <w:t xml:space="preserve"> transplant</w:t>
      </w:r>
      <w:r w:rsidR="00B6004E" w:rsidRPr="002457CA">
        <w:rPr>
          <w:rFonts w:cstheme="minorHAnsi"/>
          <w:bCs/>
          <w:color w:val="000000" w:themeColor="text1"/>
          <w:sz w:val="20"/>
          <w:szCs w:val="20"/>
        </w:rPr>
        <w:t xml:space="preserve"> </w:t>
      </w:r>
      <w:r w:rsidR="003D7B07" w:rsidRPr="002457CA">
        <w:rPr>
          <w:rFonts w:cstheme="minorHAnsi"/>
          <w:bCs/>
          <w:color w:val="000000" w:themeColor="text1"/>
          <w:sz w:val="20"/>
          <w:szCs w:val="20"/>
        </w:rPr>
        <w:t xml:space="preserve">is arguably the most commonly utilised frailty assessment time point. </w:t>
      </w:r>
      <w:r w:rsidR="00342BF5" w:rsidRPr="002457CA">
        <w:rPr>
          <w:rFonts w:cstheme="minorHAnsi"/>
          <w:color w:val="000000" w:themeColor="text1"/>
          <w:sz w:val="20"/>
          <w:szCs w:val="20"/>
        </w:rPr>
        <w:t>In addition to informing transplant eligibility, frailty assessment can also inform</w:t>
      </w:r>
      <w:r w:rsidR="00B33481" w:rsidRPr="002457CA">
        <w:rPr>
          <w:rFonts w:cstheme="minorHAnsi"/>
          <w:color w:val="000000" w:themeColor="text1"/>
          <w:sz w:val="20"/>
          <w:szCs w:val="20"/>
        </w:rPr>
        <w:t xml:space="preserve"> </w:t>
      </w:r>
      <w:r w:rsidR="00342BF5" w:rsidRPr="002457CA">
        <w:rPr>
          <w:rFonts w:cstheme="minorHAnsi"/>
          <w:color w:val="000000" w:themeColor="text1"/>
          <w:sz w:val="20"/>
          <w:szCs w:val="20"/>
        </w:rPr>
        <w:t xml:space="preserve">treatment approaches, </w:t>
      </w:r>
      <w:r w:rsidR="00B33481" w:rsidRPr="002457CA">
        <w:rPr>
          <w:rFonts w:cstheme="minorHAnsi"/>
          <w:color w:val="000000" w:themeColor="text1"/>
          <w:sz w:val="20"/>
          <w:szCs w:val="20"/>
        </w:rPr>
        <w:t xml:space="preserve">dose-attenuation </w:t>
      </w:r>
      <w:r w:rsidR="00342BF5" w:rsidRPr="002457CA">
        <w:rPr>
          <w:rFonts w:cstheme="minorHAnsi"/>
          <w:color w:val="000000" w:themeColor="text1"/>
          <w:sz w:val="20"/>
          <w:szCs w:val="20"/>
        </w:rPr>
        <w:t xml:space="preserve">and schedule changes with recommendations listed in the Clinical Practice Guideline Myeloma (Quach &amp; Prince 2019 p24-27). </w:t>
      </w:r>
    </w:p>
    <w:p w14:paraId="27FB3644" w14:textId="77777777" w:rsidR="00B33481" w:rsidRPr="002457CA" w:rsidRDefault="00B33481" w:rsidP="002457CA">
      <w:pPr>
        <w:spacing w:after="0" w:line="240" w:lineRule="auto"/>
        <w:jc w:val="both"/>
        <w:rPr>
          <w:rFonts w:cstheme="minorHAnsi"/>
          <w:b/>
          <w:color w:val="000000" w:themeColor="text1"/>
          <w:sz w:val="20"/>
          <w:szCs w:val="20"/>
        </w:rPr>
      </w:pPr>
    </w:p>
    <w:p w14:paraId="6B5DA744" w14:textId="77777777" w:rsidR="00342BF5" w:rsidRPr="002457CA" w:rsidRDefault="00342BF5" w:rsidP="002457CA">
      <w:pPr>
        <w:spacing w:after="0" w:line="240" w:lineRule="auto"/>
        <w:jc w:val="both"/>
        <w:rPr>
          <w:rFonts w:cstheme="minorHAnsi"/>
          <w:b/>
          <w:color w:val="000000" w:themeColor="text1"/>
          <w:sz w:val="20"/>
          <w:szCs w:val="20"/>
        </w:rPr>
      </w:pPr>
      <w:r w:rsidRPr="002457CA">
        <w:rPr>
          <w:rFonts w:cstheme="minorHAnsi"/>
          <w:b/>
          <w:color w:val="000000" w:themeColor="text1"/>
          <w:szCs w:val="20"/>
        </w:rPr>
        <w:t>Frailty assessment in clinical practice: M-SPN members experiences</w:t>
      </w:r>
    </w:p>
    <w:p w14:paraId="02E6D05F" w14:textId="2DEDC5A6" w:rsidR="00B179AA" w:rsidRPr="002457CA" w:rsidRDefault="004C0CA5" w:rsidP="002457CA">
      <w:pPr>
        <w:spacing w:after="0" w:line="240" w:lineRule="auto"/>
        <w:jc w:val="both"/>
        <w:rPr>
          <w:rFonts w:cstheme="minorHAnsi"/>
          <w:b/>
          <w:color w:val="000000" w:themeColor="text1"/>
          <w:sz w:val="20"/>
          <w:szCs w:val="20"/>
        </w:rPr>
      </w:pPr>
      <w:r w:rsidRPr="002457CA">
        <w:rPr>
          <w:rFonts w:cstheme="minorHAnsi"/>
          <w:color w:val="000000" w:themeColor="text1"/>
          <w:sz w:val="20"/>
          <w:szCs w:val="20"/>
        </w:rPr>
        <w:t xml:space="preserve">Myeloma Specialist nurses are well placed to </w:t>
      </w:r>
      <w:r w:rsidR="00342BF5" w:rsidRPr="002457CA">
        <w:rPr>
          <w:rFonts w:cstheme="minorHAnsi"/>
          <w:color w:val="000000" w:themeColor="text1"/>
          <w:sz w:val="20"/>
          <w:szCs w:val="20"/>
        </w:rPr>
        <w:t>screen for and implement frailty assessment in MM.</w:t>
      </w:r>
      <w:r w:rsidR="005025F1" w:rsidRPr="002457CA">
        <w:rPr>
          <w:rFonts w:cstheme="minorHAnsi"/>
          <w:b/>
          <w:color w:val="000000" w:themeColor="text1"/>
          <w:sz w:val="20"/>
          <w:szCs w:val="20"/>
        </w:rPr>
        <w:t xml:space="preserve"> </w:t>
      </w:r>
      <w:r w:rsidRPr="002457CA">
        <w:rPr>
          <w:rFonts w:cstheme="minorHAnsi"/>
          <w:color w:val="000000" w:themeColor="text1"/>
          <w:sz w:val="20"/>
          <w:szCs w:val="20"/>
        </w:rPr>
        <w:t xml:space="preserve">The nurse-patient relationship </w:t>
      </w:r>
      <w:r w:rsidR="005025F1" w:rsidRPr="002457CA">
        <w:rPr>
          <w:rFonts w:cstheme="minorHAnsi"/>
          <w:color w:val="000000" w:themeColor="text1"/>
          <w:sz w:val="20"/>
          <w:szCs w:val="20"/>
        </w:rPr>
        <w:t>can enable</w:t>
      </w:r>
      <w:r w:rsidRPr="002457CA">
        <w:rPr>
          <w:rFonts w:cstheme="minorHAnsi"/>
          <w:color w:val="000000" w:themeColor="text1"/>
          <w:sz w:val="20"/>
          <w:szCs w:val="20"/>
        </w:rPr>
        <w:t xml:space="preserve"> comprehensive patient assessment </w:t>
      </w:r>
      <w:r w:rsidR="00342BF5" w:rsidRPr="002457CA">
        <w:rPr>
          <w:rFonts w:cstheme="minorHAnsi"/>
          <w:color w:val="000000" w:themeColor="text1"/>
          <w:sz w:val="20"/>
          <w:szCs w:val="20"/>
        </w:rPr>
        <w:t xml:space="preserve">that can be hard to achieve during </w:t>
      </w:r>
      <w:r w:rsidR="002457CA">
        <w:rPr>
          <w:rFonts w:cstheme="minorHAnsi"/>
          <w:color w:val="000000" w:themeColor="text1"/>
          <w:sz w:val="20"/>
          <w:szCs w:val="20"/>
        </w:rPr>
        <w:t xml:space="preserve">busy </w:t>
      </w:r>
      <w:r w:rsidR="00342BF5" w:rsidRPr="002457CA">
        <w:rPr>
          <w:rFonts w:cstheme="minorHAnsi"/>
          <w:color w:val="000000" w:themeColor="text1"/>
          <w:sz w:val="20"/>
          <w:szCs w:val="20"/>
        </w:rPr>
        <w:t>Specialist consultations. Frailty assessment and screening can provide</w:t>
      </w:r>
      <w:r w:rsidRPr="002457CA">
        <w:rPr>
          <w:rFonts w:cstheme="minorHAnsi"/>
          <w:color w:val="000000" w:themeColor="text1"/>
          <w:sz w:val="20"/>
          <w:szCs w:val="20"/>
        </w:rPr>
        <w:t xml:space="preserve"> </w:t>
      </w:r>
      <w:r w:rsidR="00342BF5" w:rsidRPr="002457CA">
        <w:rPr>
          <w:rFonts w:cstheme="minorHAnsi"/>
          <w:color w:val="000000" w:themeColor="text1"/>
          <w:sz w:val="20"/>
          <w:szCs w:val="20"/>
        </w:rPr>
        <w:t xml:space="preserve">additional information on </w:t>
      </w:r>
      <w:r w:rsidRPr="002457CA">
        <w:rPr>
          <w:rFonts w:cstheme="minorHAnsi"/>
          <w:color w:val="000000" w:themeColor="text1"/>
          <w:sz w:val="20"/>
          <w:szCs w:val="20"/>
        </w:rPr>
        <w:t xml:space="preserve">functional or psychosocial status that may </w:t>
      </w:r>
      <w:r w:rsidR="00342BF5" w:rsidRPr="002457CA">
        <w:rPr>
          <w:rFonts w:cstheme="minorHAnsi"/>
          <w:color w:val="000000" w:themeColor="text1"/>
          <w:sz w:val="20"/>
          <w:szCs w:val="20"/>
        </w:rPr>
        <w:t>impact</w:t>
      </w:r>
      <w:r w:rsidRPr="002457CA">
        <w:rPr>
          <w:rFonts w:cstheme="minorHAnsi"/>
          <w:color w:val="000000" w:themeColor="text1"/>
          <w:sz w:val="20"/>
          <w:szCs w:val="20"/>
        </w:rPr>
        <w:t xml:space="preserve"> treatment tolerance. </w:t>
      </w:r>
    </w:p>
    <w:p w14:paraId="6BD478F1" w14:textId="77777777" w:rsidR="00B33481" w:rsidRPr="002457CA" w:rsidRDefault="00B33481" w:rsidP="002457CA">
      <w:pPr>
        <w:spacing w:after="0" w:line="240" w:lineRule="auto"/>
        <w:jc w:val="both"/>
        <w:rPr>
          <w:rFonts w:cstheme="minorHAnsi"/>
          <w:color w:val="000000" w:themeColor="text1"/>
          <w:sz w:val="20"/>
          <w:szCs w:val="20"/>
        </w:rPr>
      </w:pPr>
    </w:p>
    <w:p w14:paraId="531308E0" w14:textId="25C49530" w:rsidR="004C0CA5" w:rsidRDefault="004C0CA5" w:rsidP="002457CA">
      <w:pPr>
        <w:spacing w:after="0" w:line="240" w:lineRule="auto"/>
        <w:jc w:val="both"/>
        <w:rPr>
          <w:rFonts w:cstheme="minorHAnsi"/>
          <w:color w:val="000000" w:themeColor="text1"/>
          <w:sz w:val="20"/>
          <w:szCs w:val="20"/>
        </w:rPr>
      </w:pPr>
      <w:r w:rsidRPr="002457CA">
        <w:rPr>
          <w:rFonts w:cstheme="minorHAnsi"/>
          <w:color w:val="000000" w:themeColor="text1"/>
          <w:sz w:val="20"/>
          <w:szCs w:val="20"/>
        </w:rPr>
        <w:t xml:space="preserve">The </w:t>
      </w:r>
      <w:r w:rsidRPr="002457CA">
        <w:rPr>
          <w:rFonts w:cstheme="minorHAnsi"/>
          <w:bCs/>
          <w:color w:val="000000" w:themeColor="text1"/>
          <w:sz w:val="20"/>
          <w:szCs w:val="20"/>
        </w:rPr>
        <w:t>Myeloma Specialist Practice Network (M-SPN) iden</w:t>
      </w:r>
      <w:r w:rsidRPr="002457CA">
        <w:rPr>
          <w:rFonts w:cstheme="minorHAnsi"/>
          <w:color w:val="000000" w:themeColor="text1"/>
          <w:sz w:val="20"/>
          <w:szCs w:val="20"/>
        </w:rPr>
        <w:t xml:space="preserve">tified </w:t>
      </w:r>
      <w:r w:rsidR="005025F1" w:rsidRPr="002457CA">
        <w:rPr>
          <w:rFonts w:cstheme="minorHAnsi"/>
          <w:color w:val="000000" w:themeColor="text1"/>
          <w:sz w:val="20"/>
          <w:szCs w:val="20"/>
        </w:rPr>
        <w:t xml:space="preserve">variation in practice around frailty screening </w:t>
      </w:r>
      <w:r w:rsidRPr="002457CA">
        <w:rPr>
          <w:rFonts w:cstheme="minorHAnsi"/>
          <w:color w:val="000000" w:themeColor="text1"/>
          <w:sz w:val="20"/>
          <w:szCs w:val="20"/>
        </w:rPr>
        <w:t xml:space="preserve">as a good opportunity for the group to </w:t>
      </w:r>
      <w:r w:rsidR="005025F1" w:rsidRPr="002457CA">
        <w:rPr>
          <w:rFonts w:cstheme="minorHAnsi"/>
          <w:color w:val="000000" w:themeColor="text1"/>
          <w:sz w:val="20"/>
          <w:szCs w:val="20"/>
        </w:rPr>
        <w:t>review</w:t>
      </w:r>
      <w:r w:rsidRPr="002457CA">
        <w:rPr>
          <w:rFonts w:cstheme="minorHAnsi"/>
          <w:color w:val="000000" w:themeColor="text1"/>
          <w:sz w:val="20"/>
          <w:szCs w:val="20"/>
        </w:rPr>
        <w:t xml:space="preserve"> </w:t>
      </w:r>
      <w:r w:rsidR="005025F1" w:rsidRPr="002457CA">
        <w:rPr>
          <w:rFonts w:cstheme="minorHAnsi"/>
          <w:color w:val="000000" w:themeColor="text1"/>
          <w:sz w:val="20"/>
          <w:szCs w:val="20"/>
        </w:rPr>
        <w:t>practices in our region</w:t>
      </w:r>
      <w:r w:rsidRPr="002457CA">
        <w:rPr>
          <w:rFonts w:cstheme="minorHAnsi"/>
          <w:color w:val="000000" w:themeColor="text1"/>
          <w:sz w:val="20"/>
          <w:szCs w:val="20"/>
        </w:rPr>
        <w:t xml:space="preserve">. </w:t>
      </w:r>
      <w:r w:rsidR="005025F1" w:rsidRPr="002457CA">
        <w:rPr>
          <w:rFonts w:cstheme="minorHAnsi"/>
          <w:color w:val="000000" w:themeColor="text1"/>
          <w:sz w:val="20"/>
          <w:szCs w:val="20"/>
        </w:rPr>
        <w:t>A brief email was sent out to members inquiring of their utility of frailty assessment in routine practice.  F</w:t>
      </w:r>
      <w:r w:rsidRPr="002457CA">
        <w:rPr>
          <w:rFonts w:cstheme="minorHAnsi"/>
          <w:color w:val="000000" w:themeColor="text1"/>
          <w:sz w:val="20"/>
          <w:szCs w:val="20"/>
        </w:rPr>
        <w:t xml:space="preserve">eedback was consistent across both public and private settings; while awareness of frailty measures </w:t>
      </w:r>
      <w:r w:rsidR="005025F1" w:rsidRPr="002457CA">
        <w:rPr>
          <w:rFonts w:cstheme="minorHAnsi"/>
          <w:color w:val="000000" w:themeColor="text1"/>
          <w:sz w:val="20"/>
          <w:szCs w:val="20"/>
        </w:rPr>
        <w:t>existed</w:t>
      </w:r>
      <w:r w:rsidR="00B33481" w:rsidRPr="002457CA">
        <w:rPr>
          <w:rFonts w:cstheme="minorHAnsi"/>
          <w:color w:val="000000" w:themeColor="text1"/>
          <w:sz w:val="20"/>
          <w:szCs w:val="20"/>
        </w:rPr>
        <w:t xml:space="preserve">, the utility of them </w:t>
      </w:r>
      <w:r w:rsidR="005025F1" w:rsidRPr="002457CA">
        <w:rPr>
          <w:rFonts w:cstheme="minorHAnsi"/>
          <w:color w:val="000000" w:themeColor="text1"/>
          <w:sz w:val="20"/>
          <w:szCs w:val="20"/>
        </w:rPr>
        <w:t>was inconsistently applied</w:t>
      </w:r>
      <w:r w:rsidR="00B33481" w:rsidRPr="002457CA">
        <w:rPr>
          <w:rFonts w:cstheme="minorHAnsi"/>
          <w:color w:val="000000" w:themeColor="text1"/>
          <w:sz w:val="20"/>
          <w:szCs w:val="20"/>
        </w:rPr>
        <w:t xml:space="preserve">. </w:t>
      </w:r>
      <w:r w:rsidRPr="002457CA">
        <w:rPr>
          <w:rFonts w:cstheme="minorHAnsi"/>
          <w:color w:val="000000" w:themeColor="text1"/>
          <w:sz w:val="20"/>
          <w:szCs w:val="20"/>
        </w:rPr>
        <w:t xml:space="preserve">Approaches were </w:t>
      </w:r>
      <w:r w:rsidRPr="00F50145">
        <w:rPr>
          <w:rFonts w:cstheme="minorHAnsi"/>
          <w:color w:val="000000" w:themeColor="text1"/>
          <w:sz w:val="20"/>
          <w:szCs w:val="20"/>
        </w:rPr>
        <w:t>admittedly ad</w:t>
      </w:r>
      <w:r w:rsidR="00F22F6B" w:rsidRPr="00F50145">
        <w:rPr>
          <w:rFonts w:cstheme="minorHAnsi"/>
          <w:color w:val="000000" w:themeColor="text1"/>
          <w:sz w:val="20"/>
          <w:szCs w:val="20"/>
        </w:rPr>
        <w:t>-</w:t>
      </w:r>
      <w:r w:rsidRPr="00F50145">
        <w:rPr>
          <w:rFonts w:cstheme="minorHAnsi"/>
          <w:color w:val="000000" w:themeColor="text1"/>
          <w:sz w:val="20"/>
          <w:szCs w:val="20"/>
        </w:rPr>
        <w:t xml:space="preserve">hoc, with medical prescriber discretion at its core.  The exception was in speciality settings within </w:t>
      </w:r>
      <w:r w:rsidR="005025F1" w:rsidRPr="00F50145">
        <w:rPr>
          <w:rFonts w:cstheme="minorHAnsi"/>
          <w:color w:val="000000" w:themeColor="text1"/>
          <w:sz w:val="20"/>
          <w:szCs w:val="20"/>
        </w:rPr>
        <w:t>MM</w:t>
      </w:r>
      <w:r w:rsidRPr="00F50145">
        <w:rPr>
          <w:rFonts w:cstheme="minorHAnsi"/>
          <w:color w:val="000000" w:themeColor="text1"/>
          <w:sz w:val="20"/>
          <w:szCs w:val="20"/>
        </w:rPr>
        <w:t xml:space="preserve">, such as </w:t>
      </w:r>
      <w:r w:rsidR="005025F1" w:rsidRPr="00F50145">
        <w:rPr>
          <w:rFonts w:cstheme="minorHAnsi"/>
          <w:color w:val="000000" w:themeColor="text1"/>
          <w:sz w:val="20"/>
          <w:szCs w:val="20"/>
        </w:rPr>
        <w:t>transplant centres where</w:t>
      </w:r>
      <w:r w:rsidR="005025F1" w:rsidRPr="00F50145">
        <w:rPr>
          <w:rFonts w:cstheme="minorHAnsi"/>
          <w:b/>
          <w:color w:val="000000" w:themeColor="text1"/>
          <w:sz w:val="20"/>
          <w:szCs w:val="20"/>
        </w:rPr>
        <w:t xml:space="preserve"> </w:t>
      </w:r>
      <w:r w:rsidR="005025F1" w:rsidRPr="00F50145">
        <w:rPr>
          <w:rFonts w:cstheme="minorHAnsi"/>
          <w:bCs/>
          <w:color w:val="000000" w:themeColor="text1"/>
          <w:sz w:val="20"/>
          <w:szCs w:val="20"/>
        </w:rPr>
        <w:t xml:space="preserve">the </w:t>
      </w:r>
      <w:proofErr w:type="spellStart"/>
      <w:r w:rsidRPr="00F50145">
        <w:rPr>
          <w:rFonts w:cstheme="minorHAnsi"/>
          <w:b/>
          <w:iCs/>
          <w:color w:val="000000" w:themeColor="text1"/>
          <w:sz w:val="20"/>
          <w:szCs w:val="20"/>
        </w:rPr>
        <w:t>Haematopoeitic</w:t>
      </w:r>
      <w:proofErr w:type="spellEnd"/>
      <w:r w:rsidRPr="00F50145">
        <w:rPr>
          <w:rFonts w:cstheme="minorHAnsi"/>
          <w:b/>
          <w:iCs/>
          <w:color w:val="000000" w:themeColor="text1"/>
          <w:sz w:val="20"/>
          <w:szCs w:val="20"/>
        </w:rPr>
        <w:t xml:space="preserve"> </w:t>
      </w:r>
      <w:r w:rsidR="005025F1" w:rsidRPr="00F50145">
        <w:rPr>
          <w:rFonts w:cstheme="minorHAnsi"/>
          <w:b/>
          <w:iCs/>
          <w:color w:val="000000" w:themeColor="text1"/>
          <w:sz w:val="20"/>
          <w:szCs w:val="20"/>
        </w:rPr>
        <w:t>C</w:t>
      </w:r>
      <w:r w:rsidRPr="00F50145">
        <w:rPr>
          <w:rFonts w:cstheme="minorHAnsi"/>
          <w:b/>
          <w:iCs/>
          <w:color w:val="000000" w:themeColor="text1"/>
          <w:sz w:val="20"/>
          <w:szCs w:val="20"/>
        </w:rPr>
        <w:t xml:space="preserve">ell </w:t>
      </w:r>
      <w:r w:rsidR="005025F1" w:rsidRPr="00F50145">
        <w:rPr>
          <w:rFonts w:cstheme="minorHAnsi"/>
          <w:b/>
          <w:iCs/>
          <w:color w:val="000000" w:themeColor="text1"/>
          <w:sz w:val="20"/>
          <w:szCs w:val="20"/>
        </w:rPr>
        <w:t>T</w:t>
      </w:r>
      <w:r w:rsidRPr="00F50145">
        <w:rPr>
          <w:rFonts w:cstheme="minorHAnsi"/>
          <w:b/>
          <w:iCs/>
          <w:color w:val="000000" w:themeColor="text1"/>
          <w:sz w:val="20"/>
          <w:szCs w:val="20"/>
        </w:rPr>
        <w:t xml:space="preserve">ransplantation – </w:t>
      </w:r>
      <w:r w:rsidR="005025F1" w:rsidRPr="00F50145">
        <w:rPr>
          <w:rFonts w:cstheme="minorHAnsi"/>
          <w:b/>
          <w:iCs/>
          <w:color w:val="000000" w:themeColor="text1"/>
          <w:sz w:val="20"/>
          <w:szCs w:val="20"/>
        </w:rPr>
        <w:t>C</w:t>
      </w:r>
      <w:r w:rsidRPr="00F50145">
        <w:rPr>
          <w:rFonts w:cstheme="minorHAnsi"/>
          <w:b/>
          <w:iCs/>
          <w:color w:val="000000" w:themeColor="text1"/>
          <w:sz w:val="20"/>
          <w:szCs w:val="20"/>
        </w:rPr>
        <w:t xml:space="preserve">omorbidity </w:t>
      </w:r>
      <w:r w:rsidR="005025F1" w:rsidRPr="00F50145">
        <w:rPr>
          <w:rFonts w:cstheme="minorHAnsi"/>
          <w:b/>
          <w:iCs/>
          <w:color w:val="000000" w:themeColor="text1"/>
          <w:sz w:val="20"/>
          <w:szCs w:val="20"/>
        </w:rPr>
        <w:t>I</w:t>
      </w:r>
      <w:r w:rsidRPr="00F50145">
        <w:rPr>
          <w:rFonts w:cstheme="minorHAnsi"/>
          <w:b/>
          <w:iCs/>
          <w:color w:val="000000" w:themeColor="text1"/>
          <w:sz w:val="20"/>
          <w:szCs w:val="20"/>
        </w:rPr>
        <w:t>ndex (HCT-CI)</w:t>
      </w:r>
      <w:r w:rsidRPr="00F50145">
        <w:rPr>
          <w:rFonts w:cstheme="minorHAnsi"/>
          <w:bCs/>
          <w:iCs/>
          <w:color w:val="000000" w:themeColor="text1"/>
          <w:sz w:val="20"/>
          <w:szCs w:val="20"/>
        </w:rPr>
        <w:t xml:space="preserve"> </w:t>
      </w:r>
      <w:r w:rsidR="005025F1" w:rsidRPr="00F50145">
        <w:rPr>
          <w:rFonts w:cstheme="minorHAnsi"/>
          <w:bCs/>
          <w:iCs/>
          <w:color w:val="000000" w:themeColor="text1"/>
          <w:sz w:val="20"/>
          <w:szCs w:val="20"/>
        </w:rPr>
        <w:t xml:space="preserve">was </w:t>
      </w:r>
      <w:r w:rsidR="00B5279C" w:rsidRPr="00F50145">
        <w:rPr>
          <w:rFonts w:cstheme="minorHAnsi"/>
          <w:bCs/>
          <w:iCs/>
          <w:color w:val="000000" w:themeColor="text1"/>
          <w:sz w:val="20"/>
          <w:szCs w:val="20"/>
        </w:rPr>
        <w:t xml:space="preserve">commonly </w:t>
      </w:r>
      <w:r w:rsidRPr="00F50145">
        <w:rPr>
          <w:rFonts w:cstheme="minorHAnsi"/>
          <w:bCs/>
          <w:iCs/>
          <w:color w:val="000000" w:themeColor="text1"/>
          <w:sz w:val="20"/>
          <w:szCs w:val="20"/>
        </w:rPr>
        <w:t>used by Transplant Nurse Coordinators pre-</w:t>
      </w:r>
      <w:proofErr w:type="spellStart"/>
      <w:r w:rsidR="00F22F6B" w:rsidRPr="00F50145">
        <w:rPr>
          <w:rFonts w:cstheme="minorHAnsi"/>
          <w:bCs/>
          <w:iCs/>
          <w:color w:val="000000" w:themeColor="text1"/>
          <w:sz w:val="20"/>
          <w:szCs w:val="20"/>
        </w:rPr>
        <w:t>au</w:t>
      </w:r>
      <w:r w:rsidRPr="00F50145">
        <w:rPr>
          <w:rFonts w:cstheme="minorHAnsi"/>
          <w:bCs/>
          <w:iCs/>
          <w:color w:val="000000" w:themeColor="text1"/>
          <w:sz w:val="20"/>
          <w:szCs w:val="20"/>
        </w:rPr>
        <w:t>SCT</w:t>
      </w:r>
      <w:proofErr w:type="spellEnd"/>
      <w:r w:rsidRPr="00F50145">
        <w:rPr>
          <w:rFonts w:cstheme="minorHAnsi"/>
          <w:bCs/>
          <w:iCs/>
          <w:color w:val="000000" w:themeColor="text1"/>
          <w:sz w:val="20"/>
          <w:szCs w:val="20"/>
        </w:rPr>
        <w:t xml:space="preserve"> work-up. </w:t>
      </w:r>
      <w:r w:rsidR="002629D6" w:rsidRPr="00F50145">
        <w:rPr>
          <w:rFonts w:cstheme="minorHAnsi"/>
          <w:bCs/>
          <w:iCs/>
          <w:color w:val="000000" w:themeColor="text1"/>
          <w:sz w:val="20"/>
          <w:szCs w:val="20"/>
        </w:rPr>
        <w:t>Other centres utilised</w:t>
      </w:r>
      <w:r w:rsidR="002629D6" w:rsidRPr="002457CA">
        <w:rPr>
          <w:rFonts w:cstheme="minorHAnsi"/>
          <w:bCs/>
          <w:iCs/>
          <w:color w:val="000000" w:themeColor="text1"/>
          <w:sz w:val="20"/>
          <w:szCs w:val="20"/>
        </w:rPr>
        <w:t xml:space="preserve"> the IMWG Frailty Index to assess newly diagnosed MM for transplant eligibility. Formal </w:t>
      </w:r>
      <w:r w:rsidR="00B33481" w:rsidRPr="002457CA">
        <w:rPr>
          <w:rFonts w:cstheme="minorHAnsi"/>
          <w:bCs/>
          <w:iCs/>
          <w:color w:val="000000" w:themeColor="text1"/>
          <w:sz w:val="20"/>
          <w:szCs w:val="20"/>
        </w:rPr>
        <w:t xml:space="preserve">assessments using a recognised tool were </w:t>
      </w:r>
      <w:r w:rsidR="002629D6" w:rsidRPr="002457CA">
        <w:rPr>
          <w:rFonts w:cstheme="minorHAnsi"/>
          <w:bCs/>
          <w:iCs/>
          <w:color w:val="000000" w:themeColor="text1"/>
          <w:sz w:val="20"/>
          <w:szCs w:val="20"/>
        </w:rPr>
        <w:t xml:space="preserve">also </w:t>
      </w:r>
      <w:r w:rsidR="00B33481" w:rsidRPr="002457CA">
        <w:rPr>
          <w:rFonts w:cstheme="minorHAnsi"/>
          <w:bCs/>
          <w:iCs/>
          <w:color w:val="000000" w:themeColor="text1"/>
          <w:sz w:val="20"/>
          <w:szCs w:val="20"/>
        </w:rPr>
        <w:t>driven by study participation (</w:t>
      </w:r>
      <w:proofErr w:type="gramStart"/>
      <w:r w:rsidR="002629D6" w:rsidRPr="002457CA">
        <w:rPr>
          <w:rFonts w:cstheme="minorHAnsi"/>
          <w:bCs/>
          <w:iCs/>
          <w:color w:val="000000" w:themeColor="text1"/>
          <w:sz w:val="20"/>
          <w:szCs w:val="20"/>
        </w:rPr>
        <w:t>e.g.</w:t>
      </w:r>
      <w:proofErr w:type="gramEnd"/>
      <w:r w:rsidR="002629D6" w:rsidRPr="002457CA">
        <w:rPr>
          <w:rFonts w:cstheme="minorHAnsi"/>
          <w:bCs/>
          <w:iCs/>
          <w:color w:val="000000" w:themeColor="text1"/>
          <w:sz w:val="20"/>
          <w:szCs w:val="20"/>
        </w:rPr>
        <w:t xml:space="preserve"> </w:t>
      </w:r>
      <w:r w:rsidR="00B33481" w:rsidRPr="002457CA">
        <w:rPr>
          <w:rFonts w:cstheme="minorHAnsi"/>
          <w:bCs/>
          <w:iCs/>
          <w:color w:val="000000" w:themeColor="text1"/>
          <w:sz w:val="20"/>
          <w:szCs w:val="20"/>
        </w:rPr>
        <w:t>ALLG/</w:t>
      </w:r>
      <w:proofErr w:type="spellStart"/>
      <w:r w:rsidR="00B33481" w:rsidRPr="002457CA">
        <w:rPr>
          <w:rFonts w:cstheme="minorHAnsi"/>
          <w:bCs/>
          <w:iCs/>
          <w:color w:val="000000" w:themeColor="text1"/>
          <w:sz w:val="20"/>
          <w:szCs w:val="20"/>
        </w:rPr>
        <w:t>AMaRC</w:t>
      </w:r>
      <w:proofErr w:type="spellEnd"/>
      <w:r w:rsidR="00B33481" w:rsidRPr="002457CA">
        <w:rPr>
          <w:rFonts w:cstheme="minorHAnsi"/>
          <w:bCs/>
          <w:iCs/>
          <w:color w:val="000000" w:themeColor="text1"/>
          <w:sz w:val="20"/>
          <w:szCs w:val="20"/>
        </w:rPr>
        <w:t xml:space="preserve"> study ‘Frail M’). </w:t>
      </w:r>
      <w:r w:rsidR="002629D6" w:rsidRPr="002457CA">
        <w:rPr>
          <w:rFonts w:cstheme="minorHAnsi"/>
          <w:color w:val="000000" w:themeColor="text1"/>
          <w:sz w:val="20"/>
          <w:szCs w:val="20"/>
        </w:rPr>
        <w:t xml:space="preserve">The team at Barwon Health conducted a </w:t>
      </w:r>
      <w:r w:rsidRPr="002457CA">
        <w:rPr>
          <w:rFonts w:cstheme="minorHAnsi"/>
          <w:color w:val="000000" w:themeColor="text1"/>
          <w:sz w:val="20"/>
          <w:szCs w:val="20"/>
        </w:rPr>
        <w:t xml:space="preserve">retrospective audit that looked at efficacy and safety of </w:t>
      </w:r>
      <w:proofErr w:type="spellStart"/>
      <w:r w:rsidR="00F22F6B">
        <w:rPr>
          <w:rFonts w:cstheme="minorHAnsi"/>
          <w:color w:val="000000" w:themeColor="text1"/>
          <w:sz w:val="20"/>
          <w:szCs w:val="20"/>
        </w:rPr>
        <w:t>au</w:t>
      </w:r>
      <w:r w:rsidRPr="002457CA">
        <w:rPr>
          <w:rFonts w:cstheme="minorHAnsi"/>
          <w:color w:val="000000" w:themeColor="text1"/>
          <w:sz w:val="20"/>
          <w:szCs w:val="20"/>
        </w:rPr>
        <w:t>SCT</w:t>
      </w:r>
      <w:proofErr w:type="spellEnd"/>
      <w:r w:rsidRPr="002457CA">
        <w:rPr>
          <w:rFonts w:cstheme="minorHAnsi"/>
          <w:color w:val="000000" w:themeColor="text1"/>
          <w:sz w:val="20"/>
          <w:szCs w:val="20"/>
        </w:rPr>
        <w:t xml:space="preserve"> in elderly myeloma patients aged &gt;65years (Er. J et al</w:t>
      </w:r>
      <w:r w:rsidR="002629D6" w:rsidRPr="002457CA">
        <w:rPr>
          <w:rFonts w:cstheme="minorHAnsi"/>
          <w:color w:val="000000" w:themeColor="text1"/>
          <w:sz w:val="20"/>
          <w:szCs w:val="20"/>
        </w:rPr>
        <w:t xml:space="preserve"> 2018</w:t>
      </w:r>
      <w:r w:rsidRPr="002457CA">
        <w:rPr>
          <w:rFonts w:cstheme="minorHAnsi"/>
          <w:color w:val="000000" w:themeColor="text1"/>
          <w:sz w:val="20"/>
          <w:szCs w:val="20"/>
        </w:rPr>
        <w:t xml:space="preserve">). The study found the </w:t>
      </w:r>
      <w:r w:rsidR="00B33481" w:rsidRPr="002457CA">
        <w:rPr>
          <w:rFonts w:cstheme="minorHAnsi"/>
          <w:b/>
          <w:color w:val="000000" w:themeColor="text1"/>
          <w:sz w:val="20"/>
          <w:szCs w:val="20"/>
        </w:rPr>
        <w:t>Revised Myeloma Comorbidity Index (</w:t>
      </w:r>
      <w:r w:rsidRPr="002457CA">
        <w:rPr>
          <w:rFonts w:cstheme="minorHAnsi"/>
          <w:b/>
          <w:color w:val="000000" w:themeColor="text1"/>
          <w:sz w:val="20"/>
          <w:szCs w:val="20"/>
        </w:rPr>
        <w:t>R-MCI</w:t>
      </w:r>
      <w:r w:rsidR="00B33481" w:rsidRPr="002457CA">
        <w:rPr>
          <w:rFonts w:cstheme="minorHAnsi"/>
          <w:color w:val="000000" w:themeColor="text1"/>
          <w:sz w:val="20"/>
          <w:szCs w:val="20"/>
        </w:rPr>
        <w:t>)</w:t>
      </w:r>
      <w:r w:rsidRPr="002457CA">
        <w:rPr>
          <w:rFonts w:cstheme="minorHAnsi"/>
          <w:color w:val="000000" w:themeColor="text1"/>
          <w:sz w:val="20"/>
          <w:szCs w:val="20"/>
        </w:rPr>
        <w:t xml:space="preserve"> tool to be useful in predicting survival in their patient population. </w:t>
      </w:r>
    </w:p>
    <w:p w14:paraId="0E472511" w14:textId="77777777" w:rsidR="00B5279C" w:rsidRPr="002457CA" w:rsidRDefault="00B5279C" w:rsidP="002457CA">
      <w:pPr>
        <w:spacing w:after="0" w:line="240" w:lineRule="auto"/>
        <w:jc w:val="both"/>
        <w:rPr>
          <w:rFonts w:cstheme="minorHAnsi"/>
          <w:bCs/>
          <w:iCs/>
          <w:color w:val="000000" w:themeColor="text1"/>
          <w:sz w:val="20"/>
          <w:szCs w:val="20"/>
        </w:rPr>
      </w:pPr>
    </w:p>
    <w:p w14:paraId="1C4848A7" w14:textId="555D00EB" w:rsidR="007B3466" w:rsidRDefault="002629D6" w:rsidP="002457CA">
      <w:pPr>
        <w:spacing w:after="0" w:line="240" w:lineRule="auto"/>
        <w:jc w:val="both"/>
        <w:rPr>
          <w:rFonts w:cstheme="minorHAnsi"/>
          <w:color w:val="000000" w:themeColor="text1"/>
          <w:sz w:val="20"/>
          <w:szCs w:val="20"/>
        </w:rPr>
      </w:pPr>
      <w:r w:rsidRPr="002457CA">
        <w:rPr>
          <w:rFonts w:cstheme="minorHAnsi"/>
          <w:color w:val="000000" w:themeColor="text1"/>
          <w:sz w:val="20"/>
          <w:szCs w:val="20"/>
        </w:rPr>
        <w:t>Other centres are incorporating systematic frailty assessment into standard MM care pathways</w:t>
      </w:r>
      <w:r w:rsidR="009D3ABF">
        <w:rPr>
          <w:rFonts w:cstheme="minorHAnsi"/>
          <w:color w:val="000000" w:themeColor="text1"/>
          <w:sz w:val="20"/>
          <w:szCs w:val="20"/>
        </w:rPr>
        <w:t>.</w:t>
      </w:r>
      <w:r w:rsidRPr="002457CA">
        <w:rPr>
          <w:rFonts w:cstheme="minorHAnsi"/>
          <w:color w:val="000000" w:themeColor="text1"/>
          <w:sz w:val="20"/>
          <w:szCs w:val="20"/>
        </w:rPr>
        <w:t xml:space="preserve"> </w:t>
      </w:r>
      <w:r w:rsidR="0005662A">
        <w:rPr>
          <w:rFonts w:cstheme="minorHAnsi"/>
          <w:color w:val="000000" w:themeColor="text1"/>
          <w:sz w:val="20"/>
          <w:szCs w:val="20"/>
        </w:rPr>
        <w:t>We identified a hospital who had embedded frailty assessment into the position description for a new MM Nurse Specialist</w:t>
      </w:r>
      <w:r w:rsidR="00120174">
        <w:rPr>
          <w:rFonts w:cstheme="minorHAnsi"/>
          <w:color w:val="000000" w:themeColor="text1"/>
          <w:sz w:val="20"/>
          <w:szCs w:val="20"/>
        </w:rPr>
        <w:t xml:space="preserve"> role</w:t>
      </w:r>
      <w:r w:rsidR="0005662A">
        <w:rPr>
          <w:rFonts w:cstheme="minorHAnsi"/>
          <w:color w:val="000000" w:themeColor="text1"/>
          <w:sz w:val="20"/>
          <w:szCs w:val="20"/>
        </w:rPr>
        <w:t xml:space="preserve">. They </w:t>
      </w:r>
      <w:r w:rsidR="0005662A" w:rsidRPr="00120174">
        <w:rPr>
          <w:rFonts w:cstheme="minorHAnsi"/>
          <w:color w:val="000000" w:themeColor="text1"/>
          <w:sz w:val="20"/>
          <w:szCs w:val="20"/>
        </w:rPr>
        <w:t xml:space="preserve">argued </w:t>
      </w:r>
      <w:r w:rsidR="00876506" w:rsidRPr="00120174">
        <w:rPr>
          <w:rFonts w:cstheme="minorHAnsi"/>
          <w:color w:val="000000" w:themeColor="text1"/>
          <w:sz w:val="20"/>
          <w:szCs w:val="20"/>
        </w:rPr>
        <w:t>frailty</w:t>
      </w:r>
      <w:r w:rsidR="0005662A" w:rsidRPr="00120174">
        <w:rPr>
          <w:rFonts w:cstheme="minorHAnsi"/>
          <w:color w:val="000000" w:themeColor="text1"/>
          <w:sz w:val="20"/>
          <w:szCs w:val="20"/>
        </w:rPr>
        <w:t xml:space="preserve"> assessment </w:t>
      </w:r>
      <w:r w:rsidR="00120174" w:rsidRPr="00120174">
        <w:rPr>
          <w:rFonts w:cstheme="minorHAnsi"/>
          <w:color w:val="000000" w:themeColor="text1"/>
          <w:sz w:val="20"/>
          <w:szCs w:val="20"/>
        </w:rPr>
        <w:t xml:space="preserve">as a mechanism to </w:t>
      </w:r>
      <w:r w:rsidR="004C0CA5" w:rsidRPr="00120174">
        <w:rPr>
          <w:rFonts w:cstheme="minorHAnsi"/>
          <w:color w:val="000000" w:themeColor="text1"/>
          <w:sz w:val="20"/>
          <w:szCs w:val="20"/>
        </w:rPr>
        <w:t xml:space="preserve">identify patients at increased risk of poorer outcomes </w:t>
      </w:r>
      <w:r w:rsidR="006B4EE9" w:rsidRPr="00120174">
        <w:rPr>
          <w:rFonts w:cstheme="minorHAnsi"/>
          <w:color w:val="000000" w:themeColor="text1"/>
          <w:sz w:val="20"/>
          <w:szCs w:val="20"/>
        </w:rPr>
        <w:t xml:space="preserve">by measuring </w:t>
      </w:r>
      <w:r w:rsidR="004C0CA5" w:rsidRPr="00120174">
        <w:rPr>
          <w:rFonts w:cstheme="minorHAnsi"/>
          <w:color w:val="000000" w:themeColor="text1"/>
          <w:sz w:val="20"/>
          <w:szCs w:val="20"/>
        </w:rPr>
        <w:t>u</w:t>
      </w:r>
      <w:r w:rsidR="00876506" w:rsidRPr="00120174">
        <w:rPr>
          <w:rFonts w:cstheme="minorHAnsi"/>
          <w:color w:val="000000" w:themeColor="text1"/>
          <w:sz w:val="20"/>
          <w:szCs w:val="20"/>
        </w:rPr>
        <w:t>nfavourable</w:t>
      </w:r>
      <w:r w:rsidR="004C0CA5" w:rsidRPr="00120174">
        <w:rPr>
          <w:rFonts w:cstheme="minorHAnsi"/>
          <w:color w:val="000000" w:themeColor="text1"/>
          <w:sz w:val="20"/>
          <w:szCs w:val="20"/>
        </w:rPr>
        <w:t xml:space="preserve"> frailty scores, </w:t>
      </w:r>
      <w:r w:rsidR="00B844F4" w:rsidRPr="00120174">
        <w:rPr>
          <w:rFonts w:cstheme="minorHAnsi"/>
          <w:color w:val="000000" w:themeColor="text1"/>
          <w:sz w:val="20"/>
          <w:szCs w:val="20"/>
        </w:rPr>
        <w:t xml:space="preserve">optimising </w:t>
      </w:r>
      <w:r w:rsidR="004C0CA5" w:rsidRPr="00120174">
        <w:rPr>
          <w:rFonts w:cstheme="minorHAnsi"/>
          <w:color w:val="000000" w:themeColor="text1"/>
          <w:sz w:val="20"/>
          <w:szCs w:val="20"/>
        </w:rPr>
        <w:t>management of existing</w:t>
      </w:r>
      <w:r w:rsidR="00B844F4" w:rsidRPr="00120174">
        <w:rPr>
          <w:rFonts w:cstheme="minorHAnsi"/>
          <w:color w:val="000000" w:themeColor="text1"/>
          <w:sz w:val="20"/>
          <w:szCs w:val="20"/>
        </w:rPr>
        <w:t xml:space="preserve">, undiagnosed or </w:t>
      </w:r>
      <w:proofErr w:type="gramStart"/>
      <w:r w:rsidR="00B844F4" w:rsidRPr="00120174">
        <w:rPr>
          <w:rFonts w:cstheme="minorHAnsi"/>
          <w:color w:val="000000" w:themeColor="text1"/>
          <w:sz w:val="20"/>
          <w:szCs w:val="20"/>
        </w:rPr>
        <w:t>hig</w:t>
      </w:r>
      <w:r w:rsidR="00F22F6B">
        <w:rPr>
          <w:rFonts w:cstheme="minorHAnsi"/>
          <w:color w:val="000000" w:themeColor="text1"/>
          <w:sz w:val="20"/>
          <w:szCs w:val="20"/>
        </w:rPr>
        <w:t>h</w:t>
      </w:r>
      <w:r w:rsidR="00B844F4" w:rsidRPr="00120174">
        <w:rPr>
          <w:rFonts w:cstheme="minorHAnsi"/>
          <w:color w:val="000000" w:themeColor="text1"/>
          <w:sz w:val="20"/>
          <w:szCs w:val="20"/>
        </w:rPr>
        <w:t xml:space="preserve"> risk</w:t>
      </w:r>
      <w:proofErr w:type="gramEnd"/>
      <w:r w:rsidR="004C0CA5" w:rsidRPr="00120174">
        <w:rPr>
          <w:rFonts w:cstheme="minorHAnsi"/>
          <w:color w:val="000000" w:themeColor="text1"/>
          <w:sz w:val="20"/>
          <w:szCs w:val="20"/>
        </w:rPr>
        <w:t xml:space="preserve"> co-morbidities, and assessing for psychosocial needs, amongst others. This is turn potentiates frailty reversibility, mitigates toxicity, prevents unplanned hospital admissions, improves therapy adherence</w:t>
      </w:r>
      <w:r w:rsidR="004C0CA5" w:rsidRPr="002457CA">
        <w:rPr>
          <w:rFonts w:cstheme="minorHAnsi"/>
          <w:color w:val="000000" w:themeColor="text1"/>
          <w:sz w:val="20"/>
          <w:szCs w:val="20"/>
        </w:rPr>
        <w:t xml:space="preserve">, and enables continuation of therapy. </w:t>
      </w:r>
    </w:p>
    <w:p w14:paraId="58057ECA" w14:textId="77777777" w:rsidR="002457CA" w:rsidRPr="002457CA" w:rsidRDefault="002457CA" w:rsidP="002457CA">
      <w:pPr>
        <w:spacing w:after="0" w:line="240" w:lineRule="auto"/>
        <w:jc w:val="both"/>
        <w:rPr>
          <w:rFonts w:cstheme="minorHAnsi"/>
          <w:color w:val="000000" w:themeColor="text1"/>
          <w:sz w:val="20"/>
          <w:szCs w:val="20"/>
        </w:rPr>
      </w:pPr>
    </w:p>
    <w:p w14:paraId="1C17E8E4" w14:textId="77777777" w:rsidR="004C0CA5" w:rsidRPr="002457CA" w:rsidRDefault="00E1352B" w:rsidP="002457CA">
      <w:pPr>
        <w:spacing w:after="0" w:line="240" w:lineRule="auto"/>
        <w:jc w:val="both"/>
        <w:rPr>
          <w:rFonts w:cstheme="minorHAnsi"/>
          <w:b/>
          <w:color w:val="000000" w:themeColor="text1"/>
        </w:rPr>
      </w:pPr>
      <w:r w:rsidRPr="002457CA">
        <w:rPr>
          <w:rFonts w:cstheme="minorHAnsi"/>
          <w:b/>
          <w:color w:val="000000" w:themeColor="text1"/>
        </w:rPr>
        <w:t>What are some of the challenges for frailty assessment in routine practice?</w:t>
      </w:r>
    </w:p>
    <w:p w14:paraId="32BBA79A" w14:textId="77777777" w:rsidR="00692F6D" w:rsidRPr="002457CA" w:rsidRDefault="00692F6D" w:rsidP="00692F6D">
      <w:pPr>
        <w:spacing w:after="0" w:line="240" w:lineRule="auto"/>
        <w:jc w:val="both"/>
        <w:rPr>
          <w:rFonts w:cstheme="minorHAnsi"/>
          <w:color w:val="000000" w:themeColor="text1"/>
          <w:sz w:val="20"/>
          <w:szCs w:val="20"/>
        </w:rPr>
      </w:pPr>
    </w:p>
    <w:p w14:paraId="64198D8B" w14:textId="77777777" w:rsidR="00692F6D" w:rsidRPr="002457CA" w:rsidRDefault="00692F6D" w:rsidP="00692F6D">
      <w:pPr>
        <w:spacing w:after="0" w:line="240" w:lineRule="auto"/>
        <w:jc w:val="both"/>
        <w:rPr>
          <w:rFonts w:cstheme="minorHAnsi"/>
          <w:color w:val="000000" w:themeColor="text1"/>
          <w:sz w:val="20"/>
          <w:szCs w:val="20"/>
          <w:u w:val="single"/>
        </w:rPr>
      </w:pPr>
      <w:r w:rsidRPr="002457CA">
        <w:rPr>
          <w:rFonts w:cstheme="minorHAnsi"/>
          <w:color w:val="000000" w:themeColor="text1"/>
          <w:sz w:val="20"/>
          <w:szCs w:val="20"/>
          <w:u w:val="single"/>
        </w:rPr>
        <w:t>Formal assessment vs clinical judgment</w:t>
      </w:r>
    </w:p>
    <w:p w14:paraId="54354F64" w14:textId="66526AD7" w:rsidR="00692F6D" w:rsidRDefault="00692F6D" w:rsidP="002457CA">
      <w:pPr>
        <w:spacing w:after="0" w:line="240" w:lineRule="auto"/>
        <w:jc w:val="both"/>
        <w:rPr>
          <w:rFonts w:cstheme="minorHAnsi"/>
          <w:color w:val="000000" w:themeColor="text1"/>
          <w:sz w:val="20"/>
          <w:szCs w:val="20"/>
        </w:rPr>
      </w:pPr>
      <w:proofErr w:type="spellStart"/>
      <w:r w:rsidRPr="002457CA">
        <w:rPr>
          <w:rFonts w:cstheme="minorHAnsi"/>
          <w:color w:val="000000" w:themeColor="text1"/>
          <w:sz w:val="20"/>
          <w:szCs w:val="20"/>
        </w:rPr>
        <w:t>Belotti</w:t>
      </w:r>
      <w:proofErr w:type="spellEnd"/>
      <w:r w:rsidRPr="002457CA">
        <w:rPr>
          <w:rFonts w:cstheme="minorHAnsi"/>
          <w:color w:val="000000" w:themeColor="text1"/>
          <w:sz w:val="20"/>
          <w:szCs w:val="20"/>
        </w:rPr>
        <w:t xml:space="preserve"> and colleagues (2020) recently compared formal frailty assessment (IMWG frailty index) with clinical judgement in MM patients 65-75yrs being considered for </w:t>
      </w:r>
      <w:proofErr w:type="spellStart"/>
      <w:r w:rsidRPr="002457CA">
        <w:rPr>
          <w:rFonts w:cstheme="minorHAnsi"/>
          <w:color w:val="000000" w:themeColor="text1"/>
          <w:sz w:val="20"/>
          <w:szCs w:val="20"/>
        </w:rPr>
        <w:t>auSCT</w:t>
      </w:r>
      <w:proofErr w:type="spellEnd"/>
      <w:r w:rsidR="009D3ABF">
        <w:rPr>
          <w:rFonts w:cstheme="minorHAnsi"/>
          <w:color w:val="000000" w:themeColor="text1"/>
          <w:sz w:val="20"/>
          <w:szCs w:val="20"/>
        </w:rPr>
        <w:t xml:space="preserve"> and found </w:t>
      </w:r>
      <w:r w:rsidRPr="002457CA">
        <w:rPr>
          <w:rFonts w:cstheme="minorHAnsi"/>
          <w:color w:val="000000" w:themeColor="text1"/>
          <w:sz w:val="20"/>
          <w:szCs w:val="20"/>
        </w:rPr>
        <w:t xml:space="preserve">similar </w:t>
      </w:r>
      <w:r w:rsidR="009D3ABF">
        <w:rPr>
          <w:rFonts w:cstheme="minorHAnsi"/>
          <w:color w:val="000000" w:themeColor="text1"/>
          <w:sz w:val="20"/>
          <w:szCs w:val="20"/>
        </w:rPr>
        <w:t>outcomes between assessment type.</w:t>
      </w:r>
      <w:r w:rsidRPr="009D3ABF">
        <w:rPr>
          <w:rFonts w:cstheme="minorHAnsi"/>
          <w:color w:val="000000" w:themeColor="text1"/>
          <w:sz w:val="20"/>
          <w:szCs w:val="20"/>
        </w:rPr>
        <w:t xml:space="preserve"> </w:t>
      </w:r>
      <w:r w:rsidR="009D3ABF">
        <w:rPr>
          <w:rFonts w:cstheme="minorHAnsi"/>
          <w:color w:val="000000" w:themeColor="text1"/>
          <w:sz w:val="20"/>
          <w:szCs w:val="20"/>
        </w:rPr>
        <w:t>This perhaps</w:t>
      </w:r>
      <w:r w:rsidRPr="009D3ABF">
        <w:rPr>
          <w:rFonts w:cstheme="minorHAnsi"/>
          <w:color w:val="000000" w:themeColor="text1"/>
          <w:sz w:val="20"/>
          <w:szCs w:val="20"/>
        </w:rPr>
        <w:t xml:space="preserve"> emphas</w:t>
      </w:r>
      <w:r w:rsidR="009D3ABF">
        <w:rPr>
          <w:rFonts w:cstheme="minorHAnsi"/>
          <w:color w:val="000000" w:themeColor="text1"/>
          <w:sz w:val="20"/>
          <w:szCs w:val="20"/>
        </w:rPr>
        <w:t>ises</w:t>
      </w:r>
      <w:r w:rsidRPr="009D3ABF">
        <w:rPr>
          <w:rFonts w:cstheme="minorHAnsi"/>
          <w:color w:val="000000" w:themeColor="text1"/>
          <w:sz w:val="20"/>
          <w:szCs w:val="20"/>
        </w:rPr>
        <w:t xml:space="preserve"> </w:t>
      </w:r>
      <w:r w:rsidRPr="009D3ABF">
        <w:rPr>
          <w:rFonts w:cstheme="minorHAnsi"/>
          <w:color w:val="000000" w:themeColor="text1"/>
          <w:sz w:val="20"/>
          <w:szCs w:val="20"/>
        </w:rPr>
        <w:lastRenderedPageBreak/>
        <w:t>th</w:t>
      </w:r>
      <w:r w:rsidR="009D3ABF">
        <w:rPr>
          <w:rFonts w:cstheme="minorHAnsi"/>
          <w:color w:val="000000" w:themeColor="text1"/>
          <w:sz w:val="20"/>
          <w:szCs w:val="20"/>
        </w:rPr>
        <w:t>e</w:t>
      </w:r>
      <w:r w:rsidRPr="009D3ABF">
        <w:rPr>
          <w:rFonts w:cstheme="minorHAnsi"/>
          <w:color w:val="000000" w:themeColor="text1"/>
          <w:sz w:val="20"/>
          <w:szCs w:val="20"/>
        </w:rPr>
        <w:t xml:space="preserve"> </w:t>
      </w:r>
      <w:r w:rsidR="009D3ABF">
        <w:rPr>
          <w:rFonts w:cstheme="minorHAnsi"/>
          <w:color w:val="000000" w:themeColor="text1"/>
          <w:sz w:val="20"/>
          <w:szCs w:val="20"/>
        </w:rPr>
        <w:t>role of</w:t>
      </w:r>
      <w:r w:rsidRPr="002457CA">
        <w:rPr>
          <w:rFonts w:cstheme="minorHAnsi"/>
          <w:color w:val="000000" w:themeColor="text1"/>
          <w:sz w:val="20"/>
          <w:szCs w:val="20"/>
        </w:rPr>
        <w:t xml:space="preserve"> clinical judgement </w:t>
      </w:r>
      <w:r w:rsidR="009D3ABF">
        <w:rPr>
          <w:rFonts w:cstheme="minorHAnsi"/>
          <w:color w:val="000000" w:themeColor="text1"/>
          <w:sz w:val="20"/>
          <w:szCs w:val="20"/>
        </w:rPr>
        <w:t xml:space="preserve">within a multidisciplinary, patient-centred care environment as part of assessment of fitness for treatment. </w:t>
      </w:r>
    </w:p>
    <w:p w14:paraId="5380D112" w14:textId="77777777" w:rsidR="009D3ABF" w:rsidRDefault="009D3ABF" w:rsidP="002457CA">
      <w:pPr>
        <w:spacing w:after="0" w:line="240" w:lineRule="auto"/>
        <w:jc w:val="both"/>
        <w:rPr>
          <w:rFonts w:cstheme="minorHAnsi"/>
          <w:color w:val="000000" w:themeColor="text1"/>
          <w:sz w:val="20"/>
          <w:szCs w:val="20"/>
          <w:u w:val="single"/>
        </w:rPr>
      </w:pPr>
    </w:p>
    <w:p w14:paraId="3DE6A716" w14:textId="23281834" w:rsidR="00B33481" w:rsidRPr="002457CA" w:rsidRDefault="00E1352B" w:rsidP="002457CA">
      <w:pPr>
        <w:spacing w:after="0" w:line="240" w:lineRule="auto"/>
        <w:jc w:val="both"/>
        <w:rPr>
          <w:rFonts w:cstheme="minorHAnsi"/>
          <w:color w:val="000000" w:themeColor="text1"/>
          <w:sz w:val="20"/>
          <w:szCs w:val="20"/>
        </w:rPr>
      </w:pPr>
      <w:r w:rsidRPr="002457CA">
        <w:rPr>
          <w:rFonts w:cstheme="minorHAnsi"/>
          <w:color w:val="000000" w:themeColor="text1"/>
          <w:sz w:val="20"/>
          <w:szCs w:val="20"/>
          <w:u w:val="single"/>
        </w:rPr>
        <w:t xml:space="preserve">Reproducibility &amp; Reversibility </w:t>
      </w:r>
    </w:p>
    <w:p w14:paraId="4F7C891D" w14:textId="7E590DF8" w:rsidR="008810DB" w:rsidRDefault="00E1352B" w:rsidP="002457CA">
      <w:pPr>
        <w:spacing w:after="0" w:line="240" w:lineRule="auto"/>
        <w:jc w:val="both"/>
        <w:rPr>
          <w:rFonts w:cstheme="minorHAnsi"/>
          <w:color w:val="000000" w:themeColor="text1"/>
          <w:sz w:val="20"/>
          <w:szCs w:val="20"/>
        </w:rPr>
      </w:pPr>
      <w:r w:rsidRPr="002457CA">
        <w:rPr>
          <w:rFonts w:cstheme="minorHAnsi"/>
          <w:color w:val="000000" w:themeColor="text1"/>
          <w:sz w:val="20"/>
          <w:szCs w:val="20"/>
        </w:rPr>
        <w:t xml:space="preserve">Completion of frailty assessment </w:t>
      </w:r>
      <w:r w:rsidR="0005662A">
        <w:rPr>
          <w:rFonts w:cstheme="minorHAnsi"/>
          <w:color w:val="000000" w:themeColor="text1"/>
          <w:sz w:val="20"/>
          <w:szCs w:val="20"/>
        </w:rPr>
        <w:t>also</w:t>
      </w:r>
      <w:r w:rsidR="0036248A">
        <w:rPr>
          <w:rFonts w:cstheme="minorHAnsi"/>
          <w:color w:val="000000" w:themeColor="text1"/>
          <w:sz w:val="20"/>
          <w:szCs w:val="20"/>
        </w:rPr>
        <w:t xml:space="preserve"> involves </w:t>
      </w:r>
      <w:r w:rsidRPr="002457CA">
        <w:rPr>
          <w:rFonts w:cstheme="minorHAnsi"/>
          <w:color w:val="000000" w:themeColor="text1"/>
          <w:sz w:val="20"/>
          <w:szCs w:val="20"/>
        </w:rPr>
        <w:t>clinical judgement</w:t>
      </w:r>
      <w:r w:rsidR="0036248A">
        <w:rPr>
          <w:rFonts w:cstheme="minorHAnsi"/>
          <w:color w:val="000000" w:themeColor="text1"/>
          <w:sz w:val="20"/>
          <w:szCs w:val="20"/>
        </w:rPr>
        <w:t>,</w:t>
      </w:r>
      <w:r w:rsidRPr="002457CA">
        <w:rPr>
          <w:rFonts w:cstheme="minorHAnsi"/>
          <w:color w:val="000000" w:themeColor="text1"/>
          <w:sz w:val="20"/>
          <w:szCs w:val="20"/>
        </w:rPr>
        <w:t xml:space="preserve"> </w:t>
      </w:r>
      <w:r w:rsidR="0036248A">
        <w:rPr>
          <w:rFonts w:cstheme="minorHAnsi"/>
          <w:color w:val="000000" w:themeColor="text1"/>
          <w:sz w:val="20"/>
          <w:szCs w:val="20"/>
        </w:rPr>
        <w:t>in part</w:t>
      </w:r>
      <w:r w:rsidR="0036248A" w:rsidRPr="002457CA">
        <w:rPr>
          <w:rFonts w:cstheme="minorHAnsi"/>
          <w:color w:val="000000" w:themeColor="text1"/>
          <w:sz w:val="20"/>
          <w:szCs w:val="20"/>
        </w:rPr>
        <w:t xml:space="preserve"> </w:t>
      </w:r>
      <w:r w:rsidR="0036248A">
        <w:rPr>
          <w:rFonts w:cstheme="minorHAnsi"/>
          <w:color w:val="000000" w:themeColor="text1"/>
          <w:sz w:val="20"/>
          <w:szCs w:val="20"/>
        </w:rPr>
        <w:t>subjective,</w:t>
      </w:r>
      <w:r w:rsidR="0036248A" w:rsidRPr="002457CA">
        <w:rPr>
          <w:rFonts w:cstheme="minorHAnsi"/>
          <w:color w:val="000000" w:themeColor="text1"/>
          <w:sz w:val="20"/>
          <w:szCs w:val="20"/>
        </w:rPr>
        <w:t xml:space="preserve"> </w:t>
      </w:r>
      <w:r w:rsidRPr="002457CA">
        <w:rPr>
          <w:rFonts w:cstheme="minorHAnsi"/>
          <w:color w:val="000000" w:themeColor="text1"/>
          <w:sz w:val="20"/>
          <w:szCs w:val="20"/>
        </w:rPr>
        <w:t xml:space="preserve">where assumptions can impact scoring. Robust assessment may also </w:t>
      </w:r>
      <w:r w:rsidR="00B33481" w:rsidRPr="002457CA">
        <w:rPr>
          <w:rFonts w:cstheme="minorHAnsi"/>
          <w:color w:val="000000" w:themeColor="text1"/>
          <w:sz w:val="20"/>
          <w:szCs w:val="20"/>
        </w:rPr>
        <w:t xml:space="preserve">depend on the clinician’s experience in the care of the elderly.  </w:t>
      </w:r>
      <w:r w:rsidR="008810DB" w:rsidRPr="002457CA">
        <w:rPr>
          <w:rFonts w:cstheme="minorHAnsi"/>
          <w:color w:val="000000" w:themeColor="text1"/>
          <w:sz w:val="20"/>
          <w:szCs w:val="20"/>
        </w:rPr>
        <w:t xml:space="preserve">Factors assessed such as weakness, malnourishment, </w:t>
      </w:r>
      <w:r w:rsidR="0036248A">
        <w:rPr>
          <w:rFonts w:cstheme="minorHAnsi"/>
          <w:color w:val="000000" w:themeColor="text1"/>
          <w:sz w:val="20"/>
          <w:szCs w:val="20"/>
        </w:rPr>
        <w:t xml:space="preserve">and </w:t>
      </w:r>
      <w:r w:rsidR="008810DB" w:rsidRPr="002457CA">
        <w:rPr>
          <w:rFonts w:cstheme="minorHAnsi"/>
          <w:color w:val="000000" w:themeColor="text1"/>
          <w:sz w:val="20"/>
          <w:szCs w:val="20"/>
        </w:rPr>
        <w:t xml:space="preserve">physical endurance are modifiable especially with allied health input. Frailty scoring may therefore change over time. </w:t>
      </w:r>
      <w:r w:rsidR="00B33481" w:rsidRPr="002457CA">
        <w:rPr>
          <w:rFonts w:cstheme="minorHAnsi"/>
          <w:color w:val="000000" w:themeColor="text1"/>
          <w:sz w:val="20"/>
          <w:szCs w:val="20"/>
        </w:rPr>
        <w:t xml:space="preserve"> </w:t>
      </w:r>
      <w:r w:rsidR="0005662A">
        <w:rPr>
          <w:rFonts w:cstheme="minorHAnsi"/>
          <w:color w:val="000000" w:themeColor="text1"/>
          <w:sz w:val="20"/>
          <w:szCs w:val="20"/>
        </w:rPr>
        <w:t>Furthermore, f</w:t>
      </w:r>
      <w:r w:rsidR="00B33481" w:rsidRPr="002457CA">
        <w:rPr>
          <w:rFonts w:cstheme="minorHAnsi"/>
          <w:color w:val="000000" w:themeColor="text1"/>
          <w:sz w:val="20"/>
          <w:szCs w:val="20"/>
        </w:rPr>
        <w:t xml:space="preserve">railty </w:t>
      </w:r>
      <w:r w:rsidR="008810DB" w:rsidRPr="002457CA">
        <w:rPr>
          <w:rFonts w:cstheme="minorHAnsi"/>
          <w:color w:val="000000" w:themeColor="text1"/>
          <w:sz w:val="20"/>
          <w:szCs w:val="20"/>
        </w:rPr>
        <w:t>scores</w:t>
      </w:r>
      <w:r w:rsidR="00B33481" w:rsidRPr="002457CA">
        <w:rPr>
          <w:rFonts w:cstheme="minorHAnsi"/>
          <w:color w:val="000000" w:themeColor="text1"/>
          <w:sz w:val="20"/>
          <w:szCs w:val="20"/>
        </w:rPr>
        <w:t xml:space="preserve"> in myeloma</w:t>
      </w:r>
      <w:r w:rsidR="008810DB" w:rsidRPr="002457CA">
        <w:rPr>
          <w:rFonts w:cstheme="minorHAnsi"/>
          <w:color w:val="000000" w:themeColor="text1"/>
          <w:sz w:val="20"/>
          <w:szCs w:val="20"/>
        </w:rPr>
        <w:t xml:space="preserve"> are commonly reported as</w:t>
      </w:r>
      <w:r w:rsidR="00B33481" w:rsidRPr="002457CA">
        <w:rPr>
          <w:rFonts w:cstheme="minorHAnsi"/>
          <w:color w:val="000000" w:themeColor="text1"/>
          <w:sz w:val="20"/>
          <w:szCs w:val="20"/>
        </w:rPr>
        <w:t xml:space="preserve"> </w:t>
      </w:r>
      <w:r w:rsidR="008810DB" w:rsidRPr="002457CA">
        <w:rPr>
          <w:rFonts w:cstheme="minorHAnsi"/>
          <w:color w:val="000000" w:themeColor="text1"/>
          <w:sz w:val="20"/>
          <w:szCs w:val="20"/>
        </w:rPr>
        <w:t xml:space="preserve">they </w:t>
      </w:r>
      <w:r w:rsidR="00B33481" w:rsidRPr="002457CA">
        <w:rPr>
          <w:rFonts w:cstheme="minorHAnsi"/>
          <w:color w:val="000000" w:themeColor="text1"/>
          <w:sz w:val="20"/>
          <w:szCs w:val="20"/>
        </w:rPr>
        <w:t xml:space="preserve">correlate with poor survival outcomes. </w:t>
      </w:r>
      <w:r w:rsidR="008810DB" w:rsidRPr="002457CA">
        <w:rPr>
          <w:rFonts w:cstheme="minorHAnsi"/>
          <w:color w:val="000000" w:themeColor="text1"/>
          <w:sz w:val="20"/>
          <w:szCs w:val="20"/>
        </w:rPr>
        <w:t xml:space="preserve">Future studies could explore frailty assessment and its role in measuring ability to </w:t>
      </w:r>
      <w:r w:rsidR="00B33481" w:rsidRPr="002457CA">
        <w:rPr>
          <w:rFonts w:cstheme="minorHAnsi"/>
          <w:color w:val="000000" w:themeColor="text1"/>
          <w:sz w:val="20"/>
          <w:szCs w:val="20"/>
        </w:rPr>
        <w:t>tolera</w:t>
      </w:r>
      <w:r w:rsidR="008810DB" w:rsidRPr="002457CA">
        <w:rPr>
          <w:rFonts w:cstheme="minorHAnsi"/>
          <w:color w:val="000000" w:themeColor="text1"/>
          <w:sz w:val="20"/>
          <w:szCs w:val="20"/>
        </w:rPr>
        <w:t>te</w:t>
      </w:r>
      <w:r w:rsidR="00B33481" w:rsidRPr="002457CA">
        <w:rPr>
          <w:rFonts w:cstheme="minorHAnsi"/>
          <w:color w:val="000000" w:themeColor="text1"/>
          <w:sz w:val="20"/>
          <w:szCs w:val="20"/>
        </w:rPr>
        <w:t xml:space="preserve"> a </w:t>
      </w:r>
      <w:r w:rsidR="008810DB" w:rsidRPr="002457CA">
        <w:rPr>
          <w:rFonts w:cstheme="minorHAnsi"/>
          <w:color w:val="000000" w:themeColor="text1"/>
          <w:sz w:val="20"/>
          <w:szCs w:val="20"/>
        </w:rPr>
        <w:t>treatment regimen</w:t>
      </w:r>
      <w:r w:rsidR="00B33481" w:rsidRPr="002457CA">
        <w:rPr>
          <w:rFonts w:cstheme="minorHAnsi"/>
          <w:color w:val="000000" w:themeColor="text1"/>
          <w:sz w:val="20"/>
          <w:szCs w:val="20"/>
        </w:rPr>
        <w:t xml:space="preserve"> </w:t>
      </w:r>
      <w:r w:rsidR="008810DB" w:rsidRPr="002457CA">
        <w:rPr>
          <w:rFonts w:cstheme="minorHAnsi"/>
          <w:color w:val="000000" w:themeColor="text1"/>
          <w:sz w:val="20"/>
          <w:szCs w:val="20"/>
        </w:rPr>
        <w:t xml:space="preserve">not only for duration of therapy but </w:t>
      </w:r>
      <w:r w:rsidR="0005662A">
        <w:rPr>
          <w:rFonts w:cstheme="minorHAnsi"/>
          <w:color w:val="000000" w:themeColor="text1"/>
          <w:sz w:val="20"/>
          <w:szCs w:val="20"/>
        </w:rPr>
        <w:t xml:space="preserve">its association with </w:t>
      </w:r>
      <w:r w:rsidR="008810DB" w:rsidRPr="002457CA">
        <w:rPr>
          <w:rFonts w:cstheme="minorHAnsi"/>
          <w:color w:val="000000" w:themeColor="text1"/>
          <w:sz w:val="20"/>
          <w:szCs w:val="20"/>
        </w:rPr>
        <w:t xml:space="preserve">toxicities and impact on health-related quality of life. </w:t>
      </w:r>
    </w:p>
    <w:p w14:paraId="15B8396C" w14:textId="77777777" w:rsidR="0005662A" w:rsidRDefault="0005662A" w:rsidP="002457CA">
      <w:pPr>
        <w:spacing w:after="0" w:line="240" w:lineRule="auto"/>
        <w:jc w:val="both"/>
        <w:rPr>
          <w:rFonts w:cstheme="minorHAnsi"/>
          <w:color w:val="000000" w:themeColor="text1"/>
          <w:sz w:val="20"/>
          <w:szCs w:val="20"/>
        </w:rPr>
      </w:pPr>
    </w:p>
    <w:p w14:paraId="5824EDAC" w14:textId="0E679510" w:rsidR="0005662A" w:rsidRPr="0005662A" w:rsidRDefault="0005662A" w:rsidP="002457CA">
      <w:pPr>
        <w:spacing w:after="0" w:line="240" w:lineRule="auto"/>
        <w:jc w:val="both"/>
        <w:rPr>
          <w:rFonts w:cstheme="minorHAnsi"/>
          <w:color w:val="000000" w:themeColor="text1"/>
          <w:sz w:val="20"/>
          <w:szCs w:val="20"/>
          <w:u w:val="single"/>
        </w:rPr>
      </w:pPr>
      <w:r w:rsidRPr="0005662A">
        <w:rPr>
          <w:rFonts w:cstheme="minorHAnsi"/>
          <w:color w:val="000000" w:themeColor="text1"/>
          <w:sz w:val="20"/>
          <w:szCs w:val="20"/>
          <w:u w:val="single"/>
        </w:rPr>
        <w:t>Awareness</w:t>
      </w:r>
    </w:p>
    <w:p w14:paraId="77A502D6" w14:textId="577FAD37" w:rsidR="004C0CA5" w:rsidRDefault="00B33481" w:rsidP="002457CA">
      <w:pPr>
        <w:spacing w:after="0" w:line="240" w:lineRule="auto"/>
        <w:jc w:val="both"/>
        <w:rPr>
          <w:rFonts w:cstheme="minorHAnsi"/>
          <w:color w:val="000000" w:themeColor="text1"/>
          <w:sz w:val="20"/>
          <w:szCs w:val="20"/>
        </w:rPr>
      </w:pPr>
      <w:r w:rsidRPr="002457CA">
        <w:rPr>
          <w:rFonts w:cstheme="minorHAnsi"/>
          <w:color w:val="000000" w:themeColor="text1"/>
          <w:sz w:val="20"/>
          <w:szCs w:val="20"/>
        </w:rPr>
        <w:t xml:space="preserve">Traditionally, academic conversations </w:t>
      </w:r>
      <w:r w:rsidRPr="00B5279C">
        <w:rPr>
          <w:rFonts w:cstheme="minorHAnsi"/>
          <w:color w:val="000000" w:themeColor="text1"/>
          <w:sz w:val="20"/>
          <w:szCs w:val="20"/>
        </w:rPr>
        <w:t xml:space="preserve">on frailty that explore </w:t>
      </w:r>
      <w:r w:rsidR="00B5279C">
        <w:rPr>
          <w:rFonts w:cstheme="minorHAnsi"/>
          <w:color w:val="000000" w:themeColor="text1"/>
          <w:sz w:val="20"/>
          <w:szCs w:val="20"/>
        </w:rPr>
        <w:t>‘</w:t>
      </w:r>
      <w:r w:rsidRPr="00B5279C">
        <w:rPr>
          <w:rFonts w:cstheme="minorHAnsi"/>
          <w:i/>
          <w:color w:val="000000" w:themeColor="text1"/>
          <w:sz w:val="20"/>
          <w:szCs w:val="20"/>
        </w:rPr>
        <w:t>when is less more</w:t>
      </w:r>
      <w:r w:rsidRPr="00B5279C">
        <w:rPr>
          <w:rFonts w:cstheme="minorHAnsi"/>
          <w:color w:val="000000" w:themeColor="text1"/>
          <w:sz w:val="20"/>
          <w:szCs w:val="20"/>
        </w:rPr>
        <w:t>?</w:t>
      </w:r>
      <w:r w:rsidR="00B5279C">
        <w:rPr>
          <w:rFonts w:cstheme="minorHAnsi"/>
          <w:color w:val="000000" w:themeColor="text1"/>
          <w:sz w:val="20"/>
          <w:szCs w:val="20"/>
        </w:rPr>
        <w:t>’</w:t>
      </w:r>
      <w:r w:rsidRPr="00B5279C">
        <w:rPr>
          <w:rFonts w:cstheme="minorHAnsi"/>
          <w:color w:val="000000" w:themeColor="text1"/>
          <w:sz w:val="20"/>
          <w:szCs w:val="20"/>
        </w:rPr>
        <w:t xml:space="preserve"> are</w:t>
      </w:r>
      <w:r w:rsidRPr="002457CA">
        <w:rPr>
          <w:rFonts w:cstheme="minorHAnsi"/>
          <w:color w:val="000000" w:themeColor="text1"/>
          <w:sz w:val="20"/>
          <w:szCs w:val="20"/>
        </w:rPr>
        <w:t xml:space="preserve"> found in Palliative Care or G</w:t>
      </w:r>
      <w:r w:rsidR="00692F6D">
        <w:rPr>
          <w:rFonts w:cstheme="minorHAnsi"/>
          <w:color w:val="000000" w:themeColor="text1"/>
          <w:sz w:val="20"/>
          <w:szCs w:val="20"/>
        </w:rPr>
        <w:t>eriatric Journals, which</w:t>
      </w:r>
      <w:r w:rsidRPr="002457CA">
        <w:rPr>
          <w:rFonts w:cstheme="minorHAnsi"/>
          <w:color w:val="000000" w:themeColor="text1"/>
          <w:sz w:val="20"/>
          <w:szCs w:val="20"/>
        </w:rPr>
        <w:t xml:space="preserve"> silos frailty away from academic reviews on optimal treatment found in mainstream myeloma literature. The Paper by Murillo </w:t>
      </w:r>
      <w:r w:rsidR="00B5279C">
        <w:rPr>
          <w:rFonts w:cstheme="minorHAnsi"/>
          <w:color w:val="000000" w:themeColor="text1"/>
          <w:sz w:val="20"/>
          <w:szCs w:val="20"/>
        </w:rPr>
        <w:t>and colleagues</w:t>
      </w:r>
      <w:r w:rsidRPr="002457CA">
        <w:rPr>
          <w:rFonts w:cstheme="minorHAnsi"/>
          <w:color w:val="000000" w:themeColor="text1"/>
          <w:sz w:val="20"/>
          <w:szCs w:val="20"/>
        </w:rPr>
        <w:t xml:space="preserve"> </w:t>
      </w:r>
      <w:r w:rsidR="00B5279C">
        <w:rPr>
          <w:rFonts w:cstheme="minorHAnsi"/>
          <w:color w:val="000000" w:themeColor="text1"/>
          <w:sz w:val="20"/>
          <w:szCs w:val="20"/>
        </w:rPr>
        <w:t xml:space="preserve">(2018) </w:t>
      </w:r>
      <w:r w:rsidRPr="002457CA">
        <w:rPr>
          <w:rFonts w:cstheme="minorHAnsi"/>
          <w:color w:val="000000" w:themeColor="text1"/>
          <w:sz w:val="20"/>
          <w:szCs w:val="20"/>
        </w:rPr>
        <w:t xml:space="preserve">discussing the credentials of the </w:t>
      </w:r>
      <w:r w:rsidRPr="002457CA">
        <w:rPr>
          <w:rFonts w:cstheme="minorHAnsi"/>
          <w:b/>
          <w:color w:val="000000" w:themeColor="text1"/>
          <w:sz w:val="20"/>
          <w:szCs w:val="20"/>
        </w:rPr>
        <w:t>IMWG’s frailty score</w:t>
      </w:r>
      <w:r w:rsidRPr="002457CA">
        <w:rPr>
          <w:rFonts w:cstheme="minorHAnsi"/>
          <w:color w:val="000000" w:themeColor="text1"/>
          <w:sz w:val="20"/>
          <w:szCs w:val="20"/>
        </w:rPr>
        <w:t xml:space="preserve"> is found in the Journal of Geriatric Oncology, not in a haematology journal.</w:t>
      </w:r>
    </w:p>
    <w:p w14:paraId="6A67DF5E" w14:textId="77777777" w:rsidR="0063327F" w:rsidRPr="002457CA" w:rsidRDefault="0063327F" w:rsidP="002457CA">
      <w:pPr>
        <w:spacing w:after="0" w:line="240" w:lineRule="auto"/>
        <w:jc w:val="both"/>
        <w:rPr>
          <w:rFonts w:cstheme="minorHAnsi"/>
          <w:color w:val="000000" w:themeColor="text1"/>
          <w:sz w:val="20"/>
          <w:szCs w:val="20"/>
        </w:rPr>
      </w:pPr>
    </w:p>
    <w:p w14:paraId="087D6F2D" w14:textId="77777777" w:rsidR="0063327F" w:rsidRPr="002457CA" w:rsidRDefault="00B33481" w:rsidP="002457CA">
      <w:pPr>
        <w:spacing w:after="0" w:line="240" w:lineRule="auto"/>
        <w:jc w:val="both"/>
        <w:rPr>
          <w:rFonts w:cstheme="minorHAnsi"/>
          <w:color w:val="000000" w:themeColor="text1"/>
          <w:sz w:val="20"/>
          <w:szCs w:val="20"/>
        </w:rPr>
      </w:pPr>
      <w:r w:rsidRPr="002457CA">
        <w:rPr>
          <w:rFonts w:cstheme="minorHAnsi"/>
          <w:color w:val="000000" w:themeColor="text1"/>
          <w:sz w:val="20"/>
          <w:szCs w:val="20"/>
          <w:u w:val="single"/>
        </w:rPr>
        <w:t>Tools are tools</w:t>
      </w:r>
      <w:r w:rsidRPr="002457CA">
        <w:rPr>
          <w:rFonts w:cstheme="minorHAnsi"/>
          <w:color w:val="000000" w:themeColor="text1"/>
          <w:sz w:val="20"/>
          <w:szCs w:val="20"/>
        </w:rPr>
        <w:t xml:space="preserve">. </w:t>
      </w:r>
    </w:p>
    <w:p w14:paraId="01C08802" w14:textId="5B6B3200" w:rsidR="00FB6BCE" w:rsidRPr="002457CA" w:rsidRDefault="0063327F" w:rsidP="00FB6BCE">
      <w:pPr>
        <w:spacing w:after="0" w:line="240" w:lineRule="auto"/>
        <w:jc w:val="both"/>
        <w:rPr>
          <w:rFonts w:cstheme="minorHAnsi"/>
          <w:color w:val="000000" w:themeColor="text1"/>
          <w:sz w:val="20"/>
          <w:szCs w:val="20"/>
        </w:rPr>
      </w:pPr>
      <w:r w:rsidRPr="002457CA">
        <w:rPr>
          <w:rFonts w:cstheme="minorHAnsi"/>
          <w:color w:val="000000" w:themeColor="text1"/>
          <w:sz w:val="20"/>
          <w:szCs w:val="20"/>
        </w:rPr>
        <w:t>Tools</w:t>
      </w:r>
      <w:r w:rsidR="00B33481" w:rsidRPr="002457CA">
        <w:rPr>
          <w:rFonts w:cstheme="minorHAnsi"/>
          <w:color w:val="000000" w:themeColor="text1"/>
          <w:sz w:val="20"/>
          <w:szCs w:val="20"/>
        </w:rPr>
        <w:t xml:space="preserve"> exist to guide, inform, qualify, and strategize.  Perhaps the </w:t>
      </w:r>
      <w:r w:rsidRPr="002457CA">
        <w:rPr>
          <w:rFonts w:cstheme="minorHAnsi"/>
          <w:color w:val="000000" w:themeColor="text1"/>
          <w:sz w:val="20"/>
          <w:szCs w:val="20"/>
        </w:rPr>
        <w:t>lack of widespread, routine frailty assessment</w:t>
      </w:r>
      <w:r w:rsidR="00B33481" w:rsidRPr="002457CA">
        <w:rPr>
          <w:rFonts w:cstheme="minorHAnsi"/>
          <w:color w:val="000000" w:themeColor="text1"/>
          <w:sz w:val="20"/>
          <w:szCs w:val="20"/>
        </w:rPr>
        <w:t xml:space="preserve"> </w:t>
      </w:r>
      <w:r w:rsidR="003E3DE9" w:rsidRPr="002457CA">
        <w:rPr>
          <w:rFonts w:cstheme="minorHAnsi"/>
          <w:color w:val="000000" w:themeColor="text1"/>
          <w:sz w:val="20"/>
          <w:szCs w:val="20"/>
        </w:rPr>
        <w:t xml:space="preserve">we found in our brief review, </w:t>
      </w:r>
      <w:r w:rsidR="00B33481" w:rsidRPr="002457CA">
        <w:rPr>
          <w:rFonts w:cstheme="minorHAnsi"/>
          <w:color w:val="000000" w:themeColor="text1"/>
          <w:sz w:val="20"/>
          <w:szCs w:val="20"/>
        </w:rPr>
        <w:t>indicate</w:t>
      </w:r>
      <w:r w:rsidR="003E3DE9" w:rsidRPr="002457CA">
        <w:rPr>
          <w:rFonts w:cstheme="minorHAnsi"/>
          <w:color w:val="000000" w:themeColor="text1"/>
          <w:sz w:val="20"/>
          <w:szCs w:val="20"/>
        </w:rPr>
        <w:t>s</w:t>
      </w:r>
      <w:r w:rsidR="00B33481" w:rsidRPr="002457CA">
        <w:rPr>
          <w:rFonts w:cstheme="minorHAnsi"/>
          <w:color w:val="000000" w:themeColor="text1"/>
          <w:sz w:val="20"/>
          <w:szCs w:val="20"/>
        </w:rPr>
        <w:t xml:space="preserve"> that </w:t>
      </w:r>
      <w:r w:rsidR="003E3DE9" w:rsidRPr="002457CA">
        <w:rPr>
          <w:rFonts w:cstheme="minorHAnsi"/>
          <w:color w:val="000000" w:themeColor="text1"/>
          <w:sz w:val="20"/>
          <w:szCs w:val="20"/>
        </w:rPr>
        <w:t>clinical judgement has been working to date? Assessment of suitability of elderly MM patients for intensity of therapy is complex</w:t>
      </w:r>
      <w:r w:rsidR="00FB6BCE">
        <w:rPr>
          <w:rFonts w:cstheme="minorHAnsi"/>
          <w:color w:val="000000" w:themeColor="text1"/>
          <w:sz w:val="20"/>
          <w:szCs w:val="20"/>
        </w:rPr>
        <w:t>.</w:t>
      </w:r>
      <w:r w:rsidR="003E3DE9" w:rsidRPr="002457CA">
        <w:rPr>
          <w:rFonts w:cstheme="minorHAnsi"/>
          <w:color w:val="000000" w:themeColor="text1"/>
          <w:sz w:val="20"/>
          <w:szCs w:val="20"/>
        </w:rPr>
        <w:t xml:space="preserve"> </w:t>
      </w:r>
      <w:r w:rsidR="00FB6BCE">
        <w:rPr>
          <w:rFonts w:cstheme="minorHAnsi"/>
          <w:color w:val="000000" w:themeColor="text1"/>
          <w:sz w:val="20"/>
          <w:szCs w:val="20"/>
        </w:rPr>
        <w:t>W</w:t>
      </w:r>
      <w:r w:rsidR="003E3DE9" w:rsidRPr="002457CA">
        <w:rPr>
          <w:rFonts w:cstheme="minorHAnsi"/>
          <w:color w:val="000000" w:themeColor="text1"/>
          <w:sz w:val="20"/>
          <w:szCs w:val="20"/>
        </w:rPr>
        <w:t>hilst frailty assessment is an important component of identifying appropriate therapy for an individual patient</w:t>
      </w:r>
      <w:r w:rsidR="00FB6BCE">
        <w:rPr>
          <w:rFonts w:cstheme="minorHAnsi"/>
          <w:color w:val="000000" w:themeColor="text1"/>
          <w:sz w:val="20"/>
          <w:szCs w:val="20"/>
        </w:rPr>
        <w:t>, t</w:t>
      </w:r>
      <w:r w:rsidR="00FB6BCE" w:rsidRPr="002457CA">
        <w:rPr>
          <w:rFonts w:cstheme="minorHAnsi"/>
          <w:color w:val="000000" w:themeColor="text1"/>
          <w:sz w:val="20"/>
          <w:szCs w:val="20"/>
        </w:rPr>
        <w:t>reatment decisions are made with</w:t>
      </w:r>
      <w:r w:rsidR="00FB6BCE">
        <w:rPr>
          <w:rFonts w:cstheme="minorHAnsi"/>
          <w:color w:val="000000" w:themeColor="text1"/>
          <w:sz w:val="20"/>
          <w:szCs w:val="20"/>
        </w:rPr>
        <w:t>in</w:t>
      </w:r>
      <w:r w:rsidR="00FB6BCE" w:rsidRPr="002457CA">
        <w:rPr>
          <w:rFonts w:cstheme="minorHAnsi"/>
          <w:color w:val="000000" w:themeColor="text1"/>
          <w:sz w:val="20"/>
          <w:szCs w:val="20"/>
        </w:rPr>
        <w:t xml:space="preserve"> a complex patient-centred paradigm, that considers a broader range of issues, not restricted to those listed within frailty tools. </w:t>
      </w:r>
      <w:r w:rsidR="00FB6BCE">
        <w:rPr>
          <w:rFonts w:cstheme="minorHAnsi"/>
          <w:color w:val="000000" w:themeColor="text1"/>
          <w:sz w:val="20"/>
          <w:szCs w:val="20"/>
        </w:rPr>
        <w:t>Furthermore, frailty assessment is a process to be undertaken over time and not only at diagnosis. Formal frailty assessment can inform treatment choice but also guide referral for assistance with modifiable health and lifestyle factors which aim to improve health, reduce frailty and possibly re-inform treatment choice</w:t>
      </w:r>
      <w:r w:rsidR="0005662A">
        <w:rPr>
          <w:rFonts w:cstheme="minorHAnsi"/>
          <w:color w:val="000000" w:themeColor="text1"/>
          <w:sz w:val="20"/>
          <w:szCs w:val="20"/>
        </w:rPr>
        <w:t>.</w:t>
      </w:r>
    </w:p>
    <w:p w14:paraId="33148E8B" w14:textId="77777777" w:rsidR="00B33481" w:rsidRPr="002457CA" w:rsidRDefault="00B33481" w:rsidP="002457CA">
      <w:pPr>
        <w:spacing w:after="0" w:line="240" w:lineRule="auto"/>
        <w:jc w:val="both"/>
        <w:rPr>
          <w:rFonts w:cstheme="minorHAnsi"/>
          <w:b/>
          <w:color w:val="000000" w:themeColor="text1"/>
        </w:rPr>
      </w:pPr>
    </w:p>
    <w:p w14:paraId="36AD34FA" w14:textId="0FE2C886" w:rsidR="00B33481" w:rsidRPr="002457CA" w:rsidRDefault="002457CA" w:rsidP="002457CA">
      <w:pPr>
        <w:spacing w:after="0" w:line="240" w:lineRule="auto"/>
        <w:rPr>
          <w:rFonts w:cstheme="minorHAnsi"/>
          <w:b/>
          <w:color w:val="000000" w:themeColor="text1"/>
          <w:sz w:val="10"/>
        </w:rPr>
      </w:pPr>
      <w:r w:rsidRPr="002457CA">
        <w:rPr>
          <w:rFonts w:cstheme="minorHAnsi"/>
          <w:b/>
          <w:color w:val="000000" w:themeColor="text1"/>
        </w:rPr>
        <w:t>Concluding comment</w:t>
      </w:r>
      <w:r w:rsidR="00B33481" w:rsidRPr="002457CA">
        <w:rPr>
          <w:rFonts w:cstheme="minorHAnsi"/>
          <w:color w:val="000000" w:themeColor="text1"/>
        </w:rPr>
        <w:br/>
      </w:r>
    </w:p>
    <w:p w14:paraId="192C0B7A" w14:textId="40ECE91E" w:rsidR="0016027E" w:rsidRDefault="00B33481" w:rsidP="002457CA">
      <w:pPr>
        <w:spacing w:after="0" w:line="240" w:lineRule="auto"/>
        <w:jc w:val="both"/>
        <w:rPr>
          <w:rFonts w:cstheme="minorHAnsi"/>
          <w:color w:val="000000" w:themeColor="text1"/>
          <w:sz w:val="20"/>
          <w:szCs w:val="20"/>
        </w:rPr>
      </w:pPr>
      <w:r w:rsidRPr="002457CA">
        <w:rPr>
          <w:rFonts w:cstheme="minorHAnsi"/>
          <w:color w:val="000000" w:themeColor="text1"/>
          <w:sz w:val="20"/>
          <w:szCs w:val="20"/>
        </w:rPr>
        <w:t xml:space="preserve">Assessing frailty in myeloma is not a new concept, nor is there a lack of tools to do so. </w:t>
      </w:r>
      <w:r w:rsidR="0016027E">
        <w:rPr>
          <w:rFonts w:cstheme="minorHAnsi"/>
          <w:color w:val="000000" w:themeColor="text1"/>
          <w:sz w:val="20"/>
          <w:szCs w:val="20"/>
        </w:rPr>
        <w:t xml:space="preserve">With an increasing number of therapies available to treat myeloma, and a </w:t>
      </w:r>
      <w:r w:rsidR="0016027E" w:rsidRPr="0005662A">
        <w:rPr>
          <w:rFonts w:cstheme="minorHAnsi"/>
          <w:color w:val="000000" w:themeColor="text1"/>
          <w:sz w:val="20"/>
          <w:szCs w:val="20"/>
        </w:rPr>
        <w:t>treatment</w:t>
      </w:r>
      <w:r w:rsidR="0048750D" w:rsidRPr="0005662A">
        <w:rPr>
          <w:rFonts w:cstheme="minorHAnsi"/>
          <w:color w:val="000000" w:themeColor="text1"/>
          <w:sz w:val="20"/>
          <w:szCs w:val="20"/>
        </w:rPr>
        <w:t xml:space="preserve"> trajectory</w:t>
      </w:r>
      <w:r w:rsidR="0005662A" w:rsidRPr="0005662A">
        <w:rPr>
          <w:rFonts w:cstheme="minorHAnsi"/>
          <w:color w:val="000000" w:themeColor="text1"/>
          <w:sz w:val="20"/>
          <w:szCs w:val="20"/>
        </w:rPr>
        <w:t xml:space="preserve"> </w:t>
      </w:r>
      <w:r w:rsidR="0016027E" w:rsidRPr="0005662A">
        <w:rPr>
          <w:rFonts w:cstheme="minorHAnsi"/>
          <w:color w:val="000000" w:themeColor="text1"/>
          <w:sz w:val="20"/>
          <w:szCs w:val="20"/>
        </w:rPr>
        <w:t xml:space="preserve">of successive lines of therapy over increasing number of years, continued improvements in survival will require patients to tolerate </w:t>
      </w:r>
      <w:r w:rsidR="0048750D" w:rsidRPr="0005662A">
        <w:rPr>
          <w:rFonts w:cstheme="minorHAnsi"/>
          <w:color w:val="000000" w:themeColor="text1"/>
          <w:sz w:val="20"/>
          <w:szCs w:val="20"/>
        </w:rPr>
        <w:t>more therapies over longer periods of time</w:t>
      </w:r>
      <w:r w:rsidR="0005662A" w:rsidRPr="0005662A">
        <w:rPr>
          <w:rFonts w:cstheme="minorHAnsi"/>
          <w:strike/>
          <w:color w:val="000000" w:themeColor="text1"/>
          <w:sz w:val="20"/>
          <w:szCs w:val="20"/>
        </w:rPr>
        <w:t>.</w:t>
      </w:r>
      <w:r w:rsidR="0016027E" w:rsidRPr="0005662A">
        <w:rPr>
          <w:rFonts w:cstheme="minorHAnsi"/>
          <w:color w:val="000000" w:themeColor="text1"/>
          <w:sz w:val="20"/>
          <w:szCs w:val="20"/>
        </w:rPr>
        <w:t xml:space="preserve"> </w:t>
      </w:r>
      <w:r w:rsidR="001F07B6" w:rsidRPr="0005662A">
        <w:rPr>
          <w:rFonts w:cstheme="minorHAnsi"/>
          <w:color w:val="000000" w:themeColor="text1"/>
          <w:sz w:val="20"/>
          <w:szCs w:val="20"/>
        </w:rPr>
        <w:t xml:space="preserve">Whilst formal frailty assessment has a role in optimising intensity of therapy it can occur alongside clinical judgment within a multidisciplinary framework of patient-centred care. </w:t>
      </w:r>
      <w:r w:rsidR="0048750D" w:rsidRPr="0005662A">
        <w:rPr>
          <w:rFonts w:cstheme="minorHAnsi"/>
          <w:color w:val="000000" w:themeColor="text1"/>
          <w:sz w:val="20"/>
          <w:szCs w:val="20"/>
        </w:rPr>
        <w:t>Frailty evolves, and so must our</w:t>
      </w:r>
      <w:r w:rsidR="0048750D">
        <w:rPr>
          <w:rFonts w:cstheme="minorHAnsi"/>
          <w:color w:val="000000" w:themeColor="text1"/>
          <w:sz w:val="20"/>
          <w:szCs w:val="20"/>
        </w:rPr>
        <w:t xml:space="preserve"> </w:t>
      </w:r>
      <w:r w:rsidR="00F01179">
        <w:rPr>
          <w:rFonts w:cstheme="minorHAnsi"/>
          <w:color w:val="000000" w:themeColor="text1"/>
          <w:sz w:val="20"/>
          <w:szCs w:val="20"/>
        </w:rPr>
        <w:t>approach to individual assessment</w:t>
      </w:r>
      <w:r w:rsidR="0048750D">
        <w:rPr>
          <w:rFonts w:cstheme="minorHAnsi"/>
          <w:color w:val="000000" w:themeColor="text1"/>
          <w:sz w:val="20"/>
          <w:szCs w:val="20"/>
        </w:rPr>
        <w:t xml:space="preserve">. </w:t>
      </w:r>
    </w:p>
    <w:p w14:paraId="0B19E6D1" w14:textId="77777777" w:rsidR="00AA403B" w:rsidRPr="002457CA" w:rsidRDefault="00AA403B" w:rsidP="002457CA">
      <w:pPr>
        <w:spacing w:after="0" w:line="240" w:lineRule="auto"/>
        <w:jc w:val="both"/>
        <w:rPr>
          <w:rFonts w:cstheme="minorHAnsi"/>
          <w:color w:val="000000" w:themeColor="text1"/>
        </w:rPr>
      </w:pPr>
    </w:p>
    <w:p w14:paraId="7BB887B6" w14:textId="74878780" w:rsidR="00AA403B" w:rsidRPr="002457CA" w:rsidRDefault="002457CA" w:rsidP="00B33481">
      <w:pPr>
        <w:rPr>
          <w:b/>
          <w:bCs/>
        </w:rPr>
      </w:pPr>
      <w:r w:rsidRPr="002457CA">
        <w:rPr>
          <w:b/>
          <w:bCs/>
        </w:rPr>
        <w:t>References</w:t>
      </w:r>
    </w:p>
    <w:p w14:paraId="713B3C43" w14:textId="77777777" w:rsidR="007A5065" w:rsidRPr="001C0746" w:rsidRDefault="007A5065" w:rsidP="000928D5">
      <w:pPr>
        <w:pStyle w:val="ListParagraph"/>
        <w:numPr>
          <w:ilvl w:val="0"/>
          <w:numId w:val="4"/>
        </w:numPr>
        <w:rPr>
          <w:rFonts w:cstheme="minorHAnsi"/>
          <w:color w:val="000000" w:themeColor="text1"/>
          <w:sz w:val="16"/>
          <w:szCs w:val="16"/>
        </w:rPr>
      </w:pPr>
      <w:r w:rsidRPr="001C0746">
        <w:rPr>
          <w:rFonts w:cstheme="minorHAnsi"/>
          <w:color w:val="000000" w:themeColor="text1"/>
          <w:sz w:val="16"/>
          <w:szCs w:val="16"/>
        </w:rPr>
        <w:t xml:space="preserve">Australian Institute of Health and Welfare </w:t>
      </w:r>
      <w:r w:rsidR="001C0746" w:rsidRPr="001C0746">
        <w:rPr>
          <w:rFonts w:cstheme="minorHAnsi"/>
          <w:color w:val="000000" w:themeColor="text1"/>
          <w:sz w:val="16"/>
          <w:szCs w:val="16"/>
        </w:rPr>
        <w:t xml:space="preserve">2019. Cancer in Australia: In brief 2019. Cancer series no. 122. Cat no. CAN 126. Canberra: AIHW. </w:t>
      </w:r>
      <w:hyperlink r:id="rId9" w:history="1">
        <w:r w:rsidR="001C0746" w:rsidRPr="001C0746">
          <w:rPr>
            <w:rStyle w:val="Hyperlink"/>
            <w:rFonts w:cstheme="minorHAnsi"/>
            <w:color w:val="000000" w:themeColor="text1"/>
            <w:sz w:val="16"/>
            <w:szCs w:val="16"/>
          </w:rPr>
          <w:t>https://www.aihw.gov.au/getmedia/f4f2b22f-8189-4c51-9e2a-66384cbca683/aihw-can-126.pdf.aspx?inline=true</w:t>
        </w:r>
      </w:hyperlink>
      <w:r w:rsidR="001C0746" w:rsidRPr="001C0746">
        <w:rPr>
          <w:rFonts w:cstheme="minorHAnsi"/>
          <w:color w:val="000000" w:themeColor="text1"/>
          <w:sz w:val="16"/>
          <w:szCs w:val="16"/>
        </w:rPr>
        <w:t xml:space="preserve"> </w:t>
      </w:r>
    </w:p>
    <w:p w14:paraId="0883CCF4" w14:textId="77777777" w:rsidR="0012743E" w:rsidRPr="001C0746" w:rsidRDefault="0012743E" w:rsidP="000928D5">
      <w:pPr>
        <w:pStyle w:val="ListParagraph"/>
        <w:numPr>
          <w:ilvl w:val="0"/>
          <w:numId w:val="4"/>
        </w:numPr>
        <w:rPr>
          <w:rFonts w:cstheme="minorHAnsi"/>
          <w:color w:val="000000" w:themeColor="text1"/>
          <w:sz w:val="16"/>
          <w:szCs w:val="16"/>
        </w:rPr>
      </w:pPr>
      <w:r w:rsidRPr="001C0746">
        <w:rPr>
          <w:rFonts w:cstheme="minorHAnsi"/>
          <w:color w:val="000000" w:themeColor="text1"/>
          <w:sz w:val="16"/>
          <w:szCs w:val="16"/>
          <w:shd w:val="clear" w:color="auto" w:fill="FFFFFF"/>
          <w:lang w:val="it-IT"/>
        </w:rPr>
        <w:t xml:space="preserve">Belotti A, Ribolla R, Cancelli V, et al. </w:t>
      </w:r>
      <w:r w:rsidR="001C0746" w:rsidRPr="0058596F">
        <w:rPr>
          <w:rFonts w:cstheme="minorHAnsi"/>
          <w:color w:val="000000" w:themeColor="text1"/>
          <w:sz w:val="16"/>
          <w:szCs w:val="16"/>
          <w:shd w:val="clear" w:color="auto" w:fill="FFFFFF"/>
        </w:rPr>
        <w:t xml:space="preserve">(2020). </w:t>
      </w:r>
      <w:r w:rsidRPr="001C0746">
        <w:rPr>
          <w:rFonts w:cstheme="minorHAnsi"/>
          <w:color w:val="000000" w:themeColor="text1"/>
          <w:sz w:val="16"/>
          <w:szCs w:val="16"/>
          <w:shd w:val="clear" w:color="auto" w:fill="FFFFFF"/>
        </w:rPr>
        <w:t xml:space="preserve">Transplant eligibility in elderly multiple myeloma patients: prospective external validation of the International Myeloma Working Group (IMWG) frailty score and comparison with clinical judgment and other comorbidity scores in unselected patients aged 65-75 years. </w:t>
      </w:r>
      <w:r w:rsidRPr="001C0746">
        <w:rPr>
          <w:rStyle w:val="Emphasis"/>
          <w:rFonts w:cstheme="minorHAnsi"/>
          <w:color w:val="000000" w:themeColor="text1"/>
          <w:sz w:val="16"/>
          <w:szCs w:val="16"/>
        </w:rPr>
        <w:t>A</w:t>
      </w:r>
      <w:r w:rsidR="0080691C">
        <w:rPr>
          <w:rStyle w:val="Emphasis"/>
          <w:rFonts w:cstheme="minorHAnsi"/>
          <w:color w:val="000000" w:themeColor="text1"/>
          <w:sz w:val="16"/>
          <w:szCs w:val="16"/>
        </w:rPr>
        <w:t>JH</w:t>
      </w:r>
      <w:r w:rsidRPr="001C0746">
        <w:rPr>
          <w:rFonts w:cstheme="minorHAnsi"/>
          <w:color w:val="000000" w:themeColor="text1"/>
          <w:sz w:val="16"/>
          <w:szCs w:val="16"/>
          <w:shd w:val="clear" w:color="auto" w:fill="FFFFFF"/>
        </w:rPr>
        <w:t xml:space="preserve">. </w:t>
      </w:r>
      <w:hyperlink r:id="rId10" w:tgtFrame="_blank" w:history="1">
        <w:r w:rsidRPr="001C0746">
          <w:rPr>
            <w:rStyle w:val="Hyperlink"/>
            <w:rFonts w:cstheme="minorHAnsi"/>
            <w:color w:val="000000" w:themeColor="text1"/>
            <w:sz w:val="16"/>
            <w:szCs w:val="16"/>
          </w:rPr>
          <w:t>DOI: 10.1002/ajh.25797</w:t>
        </w:r>
      </w:hyperlink>
    </w:p>
    <w:p w14:paraId="435A74CC" w14:textId="77777777" w:rsidR="000928D5" w:rsidRPr="001C0746" w:rsidRDefault="000928D5" w:rsidP="000928D5">
      <w:pPr>
        <w:pStyle w:val="ListParagraph"/>
        <w:numPr>
          <w:ilvl w:val="0"/>
          <w:numId w:val="4"/>
        </w:numPr>
        <w:rPr>
          <w:color w:val="000000" w:themeColor="text1"/>
          <w:sz w:val="16"/>
          <w:szCs w:val="16"/>
        </w:rPr>
      </w:pPr>
      <w:r w:rsidRPr="001C0746">
        <w:rPr>
          <w:color w:val="000000" w:themeColor="text1"/>
          <w:sz w:val="16"/>
          <w:szCs w:val="16"/>
        </w:rPr>
        <w:t>Clegg et al</w:t>
      </w:r>
      <w:r w:rsidR="001C0746">
        <w:rPr>
          <w:color w:val="000000" w:themeColor="text1"/>
          <w:sz w:val="16"/>
          <w:szCs w:val="16"/>
        </w:rPr>
        <w:t xml:space="preserve">. (2013). </w:t>
      </w:r>
      <w:r w:rsidRPr="001C0746">
        <w:rPr>
          <w:color w:val="000000" w:themeColor="text1"/>
          <w:sz w:val="16"/>
          <w:szCs w:val="16"/>
        </w:rPr>
        <w:t xml:space="preserve">Frailty in elderly people. </w:t>
      </w:r>
      <w:r w:rsidRPr="001C0746">
        <w:rPr>
          <w:i/>
          <w:iCs/>
          <w:color w:val="000000" w:themeColor="text1"/>
          <w:sz w:val="16"/>
          <w:szCs w:val="16"/>
        </w:rPr>
        <w:t>Lancet</w:t>
      </w:r>
      <w:r w:rsidR="001C0746">
        <w:rPr>
          <w:color w:val="000000" w:themeColor="text1"/>
          <w:sz w:val="16"/>
          <w:szCs w:val="16"/>
        </w:rPr>
        <w:t>.</w:t>
      </w:r>
      <w:r w:rsidRPr="001C0746">
        <w:rPr>
          <w:color w:val="000000" w:themeColor="text1"/>
          <w:sz w:val="16"/>
          <w:szCs w:val="16"/>
        </w:rPr>
        <w:t xml:space="preserve"> 381:752-62. </w:t>
      </w:r>
    </w:p>
    <w:p w14:paraId="003F8CE1" w14:textId="77777777" w:rsidR="000F305B" w:rsidRPr="001C0746" w:rsidRDefault="000F305B" w:rsidP="000F305B">
      <w:pPr>
        <w:pStyle w:val="ListParagraph"/>
        <w:numPr>
          <w:ilvl w:val="0"/>
          <w:numId w:val="4"/>
        </w:numPr>
        <w:rPr>
          <w:color w:val="000000" w:themeColor="text1"/>
          <w:sz w:val="16"/>
          <w:szCs w:val="16"/>
        </w:rPr>
      </w:pPr>
      <w:r w:rsidRPr="001C0746">
        <w:rPr>
          <w:color w:val="000000" w:themeColor="text1"/>
          <w:sz w:val="16"/>
          <w:szCs w:val="16"/>
        </w:rPr>
        <w:t>Cooke et al</w:t>
      </w:r>
      <w:r w:rsidR="001C0746">
        <w:rPr>
          <w:color w:val="000000" w:themeColor="text1"/>
          <w:sz w:val="16"/>
          <w:szCs w:val="16"/>
        </w:rPr>
        <w:t>. (2019</w:t>
      </w:r>
      <w:r w:rsidR="001C0746" w:rsidRPr="001C0746">
        <w:rPr>
          <w:color w:val="000000" w:themeColor="text1"/>
          <w:sz w:val="16"/>
          <w:szCs w:val="16"/>
        </w:rPr>
        <w:t>).</w:t>
      </w:r>
      <w:r w:rsidRPr="001C0746">
        <w:rPr>
          <w:color w:val="000000" w:themeColor="text1"/>
          <w:sz w:val="16"/>
          <w:szCs w:val="16"/>
        </w:rPr>
        <w:t xml:space="preserve"> A clinical prediction model for the outcome and therapy delivery in transplant -ineligible patients with myeloma (UK Myeloma Research Alliance Risk Profile): a development and validation study. </w:t>
      </w:r>
      <w:r w:rsidRPr="001C0746">
        <w:rPr>
          <w:i/>
          <w:iCs/>
          <w:color w:val="000000" w:themeColor="text1"/>
          <w:sz w:val="16"/>
          <w:szCs w:val="16"/>
        </w:rPr>
        <w:t>The Lancet Haematology</w:t>
      </w:r>
      <w:r w:rsidR="001C0746">
        <w:rPr>
          <w:color w:val="000000" w:themeColor="text1"/>
          <w:sz w:val="16"/>
          <w:szCs w:val="16"/>
        </w:rPr>
        <w:t>.</w:t>
      </w:r>
      <w:r w:rsidRPr="001C0746">
        <w:rPr>
          <w:color w:val="000000" w:themeColor="text1"/>
          <w:sz w:val="16"/>
          <w:szCs w:val="16"/>
        </w:rPr>
        <w:t xml:space="preserve"> 6:e154-66. </w:t>
      </w:r>
    </w:p>
    <w:p w14:paraId="210C5441" w14:textId="403C6266" w:rsidR="00DD7F1D" w:rsidRPr="002457CA" w:rsidRDefault="00DD7F1D" w:rsidP="000F305B">
      <w:pPr>
        <w:pStyle w:val="ListParagraph"/>
        <w:numPr>
          <w:ilvl w:val="0"/>
          <w:numId w:val="4"/>
        </w:numPr>
        <w:rPr>
          <w:color w:val="000000" w:themeColor="text1"/>
          <w:sz w:val="16"/>
          <w:szCs w:val="16"/>
        </w:rPr>
      </w:pPr>
      <w:r w:rsidRPr="002457CA">
        <w:rPr>
          <w:color w:val="000000" w:themeColor="text1"/>
          <w:sz w:val="16"/>
          <w:szCs w:val="16"/>
        </w:rPr>
        <w:t xml:space="preserve">Er, J., </w:t>
      </w:r>
      <w:proofErr w:type="spellStart"/>
      <w:r w:rsidRPr="002457CA">
        <w:rPr>
          <w:color w:val="000000" w:themeColor="text1"/>
          <w:sz w:val="16"/>
          <w:szCs w:val="16"/>
        </w:rPr>
        <w:t>Kipp</w:t>
      </w:r>
      <w:proofErr w:type="spellEnd"/>
      <w:r w:rsidRPr="002457CA">
        <w:rPr>
          <w:color w:val="000000" w:themeColor="text1"/>
          <w:sz w:val="16"/>
          <w:szCs w:val="16"/>
        </w:rPr>
        <w:t xml:space="preserve">, D., Routledge, D., </w:t>
      </w:r>
      <w:proofErr w:type="spellStart"/>
      <w:r w:rsidRPr="002457CA">
        <w:rPr>
          <w:color w:val="000000" w:themeColor="text1"/>
          <w:sz w:val="16"/>
          <w:szCs w:val="16"/>
        </w:rPr>
        <w:t>Ratnasingham</w:t>
      </w:r>
      <w:proofErr w:type="spellEnd"/>
      <w:r w:rsidRPr="002457CA">
        <w:rPr>
          <w:color w:val="000000" w:themeColor="text1"/>
          <w:sz w:val="16"/>
          <w:szCs w:val="16"/>
        </w:rPr>
        <w:t xml:space="preserve">, S., </w:t>
      </w:r>
      <w:proofErr w:type="spellStart"/>
      <w:r w:rsidRPr="002457CA">
        <w:rPr>
          <w:color w:val="000000" w:themeColor="text1"/>
          <w:sz w:val="16"/>
          <w:szCs w:val="16"/>
        </w:rPr>
        <w:t>Friebe</w:t>
      </w:r>
      <w:proofErr w:type="spellEnd"/>
      <w:r w:rsidRPr="002457CA">
        <w:rPr>
          <w:color w:val="000000" w:themeColor="text1"/>
          <w:sz w:val="16"/>
          <w:szCs w:val="16"/>
        </w:rPr>
        <w:t xml:space="preserve">, A., Fairweather., H., </w:t>
      </w:r>
      <w:proofErr w:type="spellStart"/>
      <w:r w:rsidRPr="002457CA">
        <w:rPr>
          <w:color w:val="000000" w:themeColor="text1"/>
          <w:sz w:val="16"/>
          <w:szCs w:val="16"/>
        </w:rPr>
        <w:t>Hempton</w:t>
      </w:r>
      <w:proofErr w:type="spellEnd"/>
      <w:r w:rsidRPr="002457CA">
        <w:rPr>
          <w:color w:val="000000" w:themeColor="text1"/>
          <w:sz w:val="16"/>
          <w:szCs w:val="16"/>
        </w:rPr>
        <w:t>, J., and Campbell, P</w:t>
      </w:r>
      <w:r w:rsidR="001C0746" w:rsidRPr="002457CA">
        <w:rPr>
          <w:color w:val="000000" w:themeColor="text1"/>
          <w:sz w:val="16"/>
          <w:szCs w:val="16"/>
        </w:rPr>
        <w:t xml:space="preserve">. (2018). </w:t>
      </w:r>
      <w:r w:rsidRPr="002457CA">
        <w:rPr>
          <w:color w:val="000000" w:themeColor="text1"/>
          <w:sz w:val="16"/>
          <w:szCs w:val="16"/>
        </w:rPr>
        <w:t xml:space="preserve">Efficacy and Safety of autologous stem cell transplantation (ASCT) in elderly multiple myeloma (MM) patients aged </w:t>
      </w:r>
      <w:r w:rsidRPr="002457CA">
        <w:rPr>
          <w:rFonts w:cstheme="minorHAnsi"/>
          <w:color w:val="000000" w:themeColor="text1"/>
          <w:sz w:val="16"/>
          <w:szCs w:val="16"/>
        </w:rPr>
        <w:t>≥</w:t>
      </w:r>
      <w:r w:rsidRPr="002457CA">
        <w:rPr>
          <w:color w:val="000000" w:themeColor="text1"/>
          <w:sz w:val="16"/>
          <w:szCs w:val="16"/>
        </w:rPr>
        <w:t xml:space="preserve"> 65 years: A single centre experience.</w:t>
      </w:r>
      <w:r w:rsidR="008B45BF" w:rsidRPr="002457CA">
        <w:rPr>
          <w:color w:val="000000" w:themeColor="text1"/>
          <w:sz w:val="16"/>
          <w:szCs w:val="16"/>
        </w:rPr>
        <w:t xml:space="preserve"> </w:t>
      </w:r>
      <w:r w:rsidR="002457CA" w:rsidRPr="002457CA">
        <w:rPr>
          <w:color w:val="000000" w:themeColor="text1"/>
          <w:sz w:val="16"/>
          <w:szCs w:val="16"/>
        </w:rPr>
        <w:t>Blood. 132(suppl 1):3441-3441</w:t>
      </w:r>
      <w:r w:rsidR="008B45BF" w:rsidRPr="002457CA">
        <w:rPr>
          <w:color w:val="000000" w:themeColor="text1"/>
          <w:sz w:val="16"/>
          <w:szCs w:val="16"/>
        </w:rPr>
        <w:t xml:space="preserve"> </w:t>
      </w:r>
    </w:p>
    <w:p w14:paraId="71090426" w14:textId="77777777" w:rsidR="001A49E0" w:rsidRPr="001C0746" w:rsidRDefault="001A49E0" w:rsidP="001A49E0">
      <w:pPr>
        <w:pStyle w:val="ListParagraph"/>
        <w:numPr>
          <w:ilvl w:val="0"/>
          <w:numId w:val="4"/>
        </w:numPr>
        <w:rPr>
          <w:color w:val="000000" w:themeColor="text1"/>
          <w:sz w:val="16"/>
          <w:szCs w:val="16"/>
        </w:rPr>
      </w:pPr>
      <w:proofErr w:type="spellStart"/>
      <w:r w:rsidRPr="001C0746">
        <w:rPr>
          <w:color w:val="000000" w:themeColor="text1"/>
          <w:sz w:val="16"/>
          <w:szCs w:val="16"/>
        </w:rPr>
        <w:t>Facon</w:t>
      </w:r>
      <w:proofErr w:type="spellEnd"/>
      <w:r w:rsidRPr="001C0746">
        <w:rPr>
          <w:color w:val="000000" w:themeColor="text1"/>
          <w:sz w:val="16"/>
          <w:szCs w:val="16"/>
        </w:rPr>
        <w:t>, T., et al</w:t>
      </w:r>
      <w:r w:rsidR="0080691C">
        <w:rPr>
          <w:color w:val="000000" w:themeColor="text1"/>
          <w:sz w:val="16"/>
          <w:szCs w:val="16"/>
        </w:rPr>
        <w:t xml:space="preserve">. (2018). </w:t>
      </w:r>
      <w:r w:rsidRPr="0080691C">
        <w:rPr>
          <w:iCs/>
          <w:color w:val="000000" w:themeColor="text1"/>
          <w:sz w:val="16"/>
          <w:szCs w:val="16"/>
        </w:rPr>
        <w:t>Final analysis of survival outcomes in the phase 3 FIRST trial of upfront treatment for multiple myeloma</w:t>
      </w:r>
      <w:r w:rsidRPr="001C0746">
        <w:rPr>
          <w:color w:val="000000" w:themeColor="text1"/>
          <w:sz w:val="16"/>
          <w:szCs w:val="16"/>
        </w:rPr>
        <w:t xml:space="preserve">. </w:t>
      </w:r>
      <w:r w:rsidRPr="0080691C">
        <w:rPr>
          <w:i/>
          <w:iCs/>
          <w:color w:val="000000" w:themeColor="text1"/>
          <w:sz w:val="16"/>
          <w:szCs w:val="16"/>
        </w:rPr>
        <w:t>Blood</w:t>
      </w:r>
      <w:r w:rsidR="0080691C">
        <w:rPr>
          <w:color w:val="000000" w:themeColor="text1"/>
          <w:sz w:val="16"/>
          <w:szCs w:val="16"/>
        </w:rPr>
        <w:t xml:space="preserve">. </w:t>
      </w:r>
      <w:r w:rsidRPr="001C0746">
        <w:rPr>
          <w:color w:val="000000" w:themeColor="text1"/>
          <w:sz w:val="16"/>
          <w:szCs w:val="16"/>
        </w:rPr>
        <w:t xml:space="preserve">131(3): p. 301-310. </w:t>
      </w:r>
    </w:p>
    <w:p w14:paraId="01F1196C" w14:textId="77777777" w:rsidR="000928D5" w:rsidRPr="001C0746" w:rsidRDefault="000928D5" w:rsidP="000F305B">
      <w:pPr>
        <w:pStyle w:val="ListParagraph"/>
        <w:numPr>
          <w:ilvl w:val="0"/>
          <w:numId w:val="4"/>
        </w:numPr>
        <w:spacing w:after="0"/>
        <w:rPr>
          <w:color w:val="000000" w:themeColor="text1"/>
          <w:sz w:val="16"/>
          <w:szCs w:val="16"/>
        </w:rPr>
      </w:pPr>
      <w:r w:rsidRPr="001C0746">
        <w:rPr>
          <w:color w:val="000000" w:themeColor="text1"/>
          <w:sz w:val="16"/>
          <w:szCs w:val="16"/>
        </w:rPr>
        <w:t>M</w:t>
      </w:r>
      <w:r w:rsidR="001C0746" w:rsidRPr="001C0746">
        <w:rPr>
          <w:color w:val="000000" w:themeColor="text1"/>
          <w:sz w:val="16"/>
          <w:szCs w:val="16"/>
        </w:rPr>
        <w:t>yeloma Scientific Advisory Group (M</w:t>
      </w:r>
      <w:r w:rsidRPr="001C0746">
        <w:rPr>
          <w:color w:val="000000" w:themeColor="text1"/>
          <w:sz w:val="16"/>
          <w:szCs w:val="16"/>
        </w:rPr>
        <w:t>SAG</w:t>
      </w:r>
      <w:r w:rsidR="001C0746" w:rsidRPr="001C0746">
        <w:rPr>
          <w:color w:val="000000" w:themeColor="text1"/>
          <w:sz w:val="16"/>
          <w:szCs w:val="16"/>
        </w:rPr>
        <w:t>)</w:t>
      </w:r>
      <w:r w:rsidRPr="001C0746">
        <w:rPr>
          <w:color w:val="000000" w:themeColor="text1"/>
          <w:sz w:val="16"/>
          <w:szCs w:val="16"/>
        </w:rPr>
        <w:t xml:space="preserve"> 2019. Clinical Practice Guideline Multiple Myeloma. MSAG to Myeloma Australia. Page 10.   </w:t>
      </w:r>
    </w:p>
    <w:p w14:paraId="19690234" w14:textId="77777777" w:rsidR="000928D5" w:rsidRPr="001C0746" w:rsidRDefault="000105D7" w:rsidP="000928D5">
      <w:pPr>
        <w:pStyle w:val="ListParagraph"/>
        <w:spacing w:after="0"/>
        <w:rPr>
          <w:color w:val="000000" w:themeColor="text1"/>
          <w:sz w:val="16"/>
          <w:szCs w:val="16"/>
        </w:rPr>
      </w:pPr>
      <w:hyperlink r:id="rId11" w:history="1">
        <w:r w:rsidR="000928D5" w:rsidRPr="001C0746">
          <w:rPr>
            <w:rStyle w:val="Hyperlink"/>
            <w:color w:val="000000" w:themeColor="text1"/>
            <w:sz w:val="16"/>
            <w:szCs w:val="16"/>
          </w:rPr>
          <w:t>https://myeloma.org.au/wp-content/uploads/2019/10/myeloma_clinical_practice_guideline_oct19.pdf</w:t>
        </w:r>
      </w:hyperlink>
    </w:p>
    <w:p w14:paraId="756C6877" w14:textId="77777777" w:rsidR="000F305B" w:rsidRPr="001C0746" w:rsidRDefault="000F305B" w:rsidP="000F305B">
      <w:pPr>
        <w:pStyle w:val="ListParagraph"/>
        <w:numPr>
          <w:ilvl w:val="0"/>
          <w:numId w:val="4"/>
        </w:numPr>
        <w:rPr>
          <w:color w:val="000000" w:themeColor="text1"/>
          <w:sz w:val="16"/>
          <w:szCs w:val="16"/>
        </w:rPr>
      </w:pPr>
      <w:proofErr w:type="spellStart"/>
      <w:r w:rsidRPr="001C0746">
        <w:rPr>
          <w:color w:val="000000" w:themeColor="text1"/>
          <w:sz w:val="16"/>
          <w:szCs w:val="16"/>
        </w:rPr>
        <w:t>Mian</w:t>
      </w:r>
      <w:proofErr w:type="spellEnd"/>
      <w:r w:rsidRPr="001C0746">
        <w:rPr>
          <w:color w:val="000000" w:themeColor="text1"/>
          <w:sz w:val="16"/>
          <w:szCs w:val="16"/>
        </w:rPr>
        <w:t xml:space="preserve">, H., et al. </w:t>
      </w:r>
      <w:r w:rsidR="0080691C">
        <w:rPr>
          <w:color w:val="000000" w:themeColor="text1"/>
          <w:sz w:val="16"/>
          <w:szCs w:val="16"/>
        </w:rPr>
        <w:t xml:space="preserve">(2019). </w:t>
      </w:r>
      <w:r w:rsidRPr="001C0746">
        <w:rPr>
          <w:color w:val="000000" w:themeColor="text1"/>
          <w:sz w:val="16"/>
          <w:szCs w:val="16"/>
        </w:rPr>
        <w:t xml:space="preserve">Comparison of Frailty Scores in Newly Diagnosed Patients with Multiple Myeloma: A Review. </w:t>
      </w:r>
      <w:r w:rsidRPr="0080691C">
        <w:rPr>
          <w:i/>
          <w:iCs/>
          <w:color w:val="000000" w:themeColor="text1"/>
          <w:sz w:val="16"/>
          <w:szCs w:val="16"/>
        </w:rPr>
        <w:t>J Frailty Aging</w:t>
      </w:r>
      <w:r w:rsidRPr="001C0746">
        <w:rPr>
          <w:color w:val="000000" w:themeColor="text1"/>
          <w:sz w:val="16"/>
          <w:szCs w:val="16"/>
        </w:rPr>
        <w:t xml:space="preserve">.8(4):215-221. </w:t>
      </w:r>
    </w:p>
    <w:p w14:paraId="5AF096D6" w14:textId="77777777" w:rsidR="00036470" w:rsidRPr="001C0746" w:rsidRDefault="00036470" w:rsidP="000F305B">
      <w:pPr>
        <w:pStyle w:val="ListParagraph"/>
        <w:numPr>
          <w:ilvl w:val="0"/>
          <w:numId w:val="4"/>
        </w:numPr>
        <w:rPr>
          <w:rFonts w:cstheme="minorHAnsi"/>
          <w:color w:val="000000" w:themeColor="text1"/>
          <w:sz w:val="16"/>
          <w:szCs w:val="16"/>
        </w:rPr>
      </w:pPr>
      <w:r w:rsidRPr="001C0746">
        <w:rPr>
          <w:rFonts w:cstheme="minorHAnsi"/>
          <w:color w:val="000000" w:themeColor="text1"/>
          <w:sz w:val="16"/>
          <w:szCs w:val="16"/>
          <w:shd w:val="clear" w:color="auto" w:fill="FCFCFC"/>
          <w:lang w:val="it-IT"/>
        </w:rPr>
        <w:t xml:space="preserve">Milani P, Vincent </w:t>
      </w:r>
      <w:proofErr w:type="spellStart"/>
      <w:r w:rsidRPr="001C0746">
        <w:rPr>
          <w:rFonts w:cstheme="minorHAnsi"/>
          <w:color w:val="000000" w:themeColor="text1"/>
          <w:sz w:val="16"/>
          <w:szCs w:val="16"/>
          <w:shd w:val="clear" w:color="auto" w:fill="FCFCFC"/>
          <w:lang w:val="it-IT"/>
        </w:rPr>
        <w:t>Rajkumar</w:t>
      </w:r>
      <w:proofErr w:type="spellEnd"/>
      <w:r w:rsidRPr="001C0746">
        <w:rPr>
          <w:rFonts w:cstheme="minorHAnsi"/>
          <w:color w:val="000000" w:themeColor="text1"/>
          <w:sz w:val="16"/>
          <w:szCs w:val="16"/>
          <w:shd w:val="clear" w:color="auto" w:fill="FCFCFC"/>
          <w:lang w:val="it-IT"/>
        </w:rPr>
        <w:t xml:space="preserve"> S, Merlini G, Kumar S, </w:t>
      </w:r>
      <w:proofErr w:type="spellStart"/>
      <w:r w:rsidRPr="001C0746">
        <w:rPr>
          <w:rFonts w:cstheme="minorHAnsi"/>
          <w:color w:val="000000" w:themeColor="text1"/>
          <w:sz w:val="16"/>
          <w:szCs w:val="16"/>
          <w:shd w:val="clear" w:color="auto" w:fill="FCFCFC"/>
          <w:lang w:val="it-IT"/>
        </w:rPr>
        <w:t>Gertz</w:t>
      </w:r>
      <w:proofErr w:type="spellEnd"/>
      <w:r w:rsidRPr="001C0746">
        <w:rPr>
          <w:rFonts w:cstheme="minorHAnsi"/>
          <w:color w:val="000000" w:themeColor="text1"/>
          <w:sz w:val="16"/>
          <w:szCs w:val="16"/>
          <w:shd w:val="clear" w:color="auto" w:fill="FCFCFC"/>
          <w:lang w:val="it-IT"/>
        </w:rPr>
        <w:t xml:space="preserve"> MA, </w:t>
      </w:r>
      <w:proofErr w:type="spellStart"/>
      <w:r w:rsidRPr="001C0746">
        <w:rPr>
          <w:rFonts w:cstheme="minorHAnsi"/>
          <w:color w:val="000000" w:themeColor="text1"/>
          <w:sz w:val="16"/>
          <w:szCs w:val="16"/>
          <w:shd w:val="clear" w:color="auto" w:fill="FCFCFC"/>
          <w:lang w:val="it-IT"/>
        </w:rPr>
        <w:t>Palladini</w:t>
      </w:r>
      <w:proofErr w:type="spellEnd"/>
      <w:r w:rsidRPr="001C0746">
        <w:rPr>
          <w:rFonts w:cstheme="minorHAnsi"/>
          <w:color w:val="000000" w:themeColor="text1"/>
          <w:sz w:val="16"/>
          <w:szCs w:val="16"/>
          <w:shd w:val="clear" w:color="auto" w:fill="FCFCFC"/>
          <w:lang w:val="it-IT"/>
        </w:rPr>
        <w:t xml:space="preserve"> G, et al. </w:t>
      </w:r>
      <w:r w:rsidR="0080691C" w:rsidRPr="0058596F">
        <w:rPr>
          <w:rFonts w:cstheme="minorHAnsi"/>
          <w:color w:val="000000" w:themeColor="text1"/>
          <w:sz w:val="16"/>
          <w:szCs w:val="16"/>
          <w:shd w:val="clear" w:color="auto" w:fill="FCFCFC"/>
        </w:rPr>
        <w:t xml:space="preserve">(2016). </w:t>
      </w:r>
      <w:r w:rsidRPr="001C0746">
        <w:rPr>
          <w:rFonts w:cstheme="minorHAnsi"/>
          <w:color w:val="000000" w:themeColor="text1"/>
          <w:sz w:val="16"/>
          <w:szCs w:val="16"/>
          <w:shd w:val="clear" w:color="auto" w:fill="FCFCFC"/>
        </w:rPr>
        <w:t>N-terminal fragment of the type-B natriuretic peptide (NT-</w:t>
      </w:r>
      <w:proofErr w:type="spellStart"/>
      <w:r w:rsidRPr="001C0746">
        <w:rPr>
          <w:rFonts w:cstheme="minorHAnsi"/>
          <w:color w:val="000000" w:themeColor="text1"/>
          <w:sz w:val="16"/>
          <w:szCs w:val="16"/>
          <w:shd w:val="clear" w:color="auto" w:fill="FCFCFC"/>
        </w:rPr>
        <w:t>proBNP</w:t>
      </w:r>
      <w:proofErr w:type="spellEnd"/>
      <w:r w:rsidRPr="001C0746">
        <w:rPr>
          <w:rFonts w:cstheme="minorHAnsi"/>
          <w:color w:val="000000" w:themeColor="text1"/>
          <w:sz w:val="16"/>
          <w:szCs w:val="16"/>
          <w:shd w:val="clear" w:color="auto" w:fill="FCFCFC"/>
        </w:rPr>
        <w:t xml:space="preserve">) contributes to a simple new frailty score in patients with newly diagnosed multiple myeloma. </w:t>
      </w:r>
      <w:r w:rsidR="0080691C" w:rsidRPr="0080691C">
        <w:rPr>
          <w:rFonts w:cstheme="minorHAnsi"/>
          <w:i/>
          <w:iCs/>
          <w:color w:val="000000" w:themeColor="text1"/>
          <w:sz w:val="16"/>
          <w:szCs w:val="16"/>
          <w:shd w:val="clear" w:color="auto" w:fill="FCFCFC"/>
        </w:rPr>
        <w:t>AJH</w:t>
      </w:r>
      <w:r w:rsidRPr="001C0746">
        <w:rPr>
          <w:rFonts w:cstheme="minorHAnsi"/>
          <w:color w:val="000000" w:themeColor="text1"/>
          <w:sz w:val="16"/>
          <w:szCs w:val="16"/>
          <w:shd w:val="clear" w:color="auto" w:fill="FCFCFC"/>
        </w:rPr>
        <w:t>.</w:t>
      </w:r>
      <w:r w:rsidR="0080691C">
        <w:rPr>
          <w:rFonts w:cstheme="minorHAnsi"/>
          <w:color w:val="000000" w:themeColor="text1"/>
          <w:sz w:val="16"/>
          <w:szCs w:val="16"/>
          <w:shd w:val="clear" w:color="auto" w:fill="FCFCFC"/>
        </w:rPr>
        <w:t xml:space="preserve"> </w:t>
      </w:r>
      <w:r w:rsidRPr="001C0746">
        <w:rPr>
          <w:rFonts w:cstheme="minorHAnsi"/>
          <w:color w:val="000000" w:themeColor="text1"/>
          <w:sz w:val="16"/>
          <w:szCs w:val="16"/>
          <w:shd w:val="clear" w:color="auto" w:fill="FCFCFC"/>
        </w:rPr>
        <w:t>Nov;91(11):1129–34.</w:t>
      </w:r>
    </w:p>
    <w:p w14:paraId="5AD78873" w14:textId="77777777" w:rsidR="000F305B" w:rsidRPr="001C0746" w:rsidRDefault="000F305B" w:rsidP="000F305B">
      <w:pPr>
        <w:pStyle w:val="ListParagraph"/>
        <w:numPr>
          <w:ilvl w:val="0"/>
          <w:numId w:val="4"/>
        </w:numPr>
        <w:rPr>
          <w:color w:val="000000" w:themeColor="text1"/>
          <w:sz w:val="16"/>
          <w:szCs w:val="16"/>
        </w:rPr>
      </w:pPr>
      <w:r w:rsidRPr="001C0746">
        <w:rPr>
          <w:color w:val="000000" w:themeColor="text1"/>
          <w:sz w:val="16"/>
          <w:szCs w:val="16"/>
        </w:rPr>
        <w:t>Murillo et al</w:t>
      </w:r>
      <w:r w:rsidR="0080691C">
        <w:rPr>
          <w:color w:val="000000" w:themeColor="text1"/>
          <w:sz w:val="16"/>
          <w:szCs w:val="16"/>
        </w:rPr>
        <w:t xml:space="preserve">. (2018). </w:t>
      </w:r>
      <w:r w:rsidRPr="0080691C">
        <w:rPr>
          <w:iCs/>
          <w:color w:val="000000" w:themeColor="text1"/>
          <w:sz w:val="16"/>
          <w:szCs w:val="16"/>
        </w:rPr>
        <w:t>Performance of the international myeloma working group myeloma frailty score among patients 75 or older</w:t>
      </w:r>
      <w:r w:rsidRPr="001C0746">
        <w:rPr>
          <w:i/>
          <w:color w:val="000000" w:themeColor="text1"/>
          <w:sz w:val="16"/>
          <w:szCs w:val="16"/>
        </w:rPr>
        <w:t>.</w:t>
      </w:r>
      <w:r w:rsidRPr="001C0746">
        <w:rPr>
          <w:color w:val="000000" w:themeColor="text1"/>
          <w:sz w:val="16"/>
          <w:szCs w:val="16"/>
        </w:rPr>
        <w:t xml:space="preserve"> </w:t>
      </w:r>
      <w:r w:rsidRPr="0080691C">
        <w:rPr>
          <w:i/>
          <w:iCs/>
          <w:color w:val="000000" w:themeColor="text1"/>
          <w:sz w:val="16"/>
          <w:szCs w:val="16"/>
        </w:rPr>
        <w:t>The Journal of Geriatric Oncology</w:t>
      </w:r>
      <w:r w:rsidRPr="001C0746">
        <w:rPr>
          <w:color w:val="000000" w:themeColor="text1"/>
          <w:sz w:val="16"/>
          <w:szCs w:val="16"/>
        </w:rPr>
        <w:t xml:space="preserve"> 10</w:t>
      </w:r>
      <w:r w:rsidR="0080691C">
        <w:rPr>
          <w:color w:val="000000" w:themeColor="text1"/>
          <w:sz w:val="16"/>
          <w:szCs w:val="16"/>
        </w:rPr>
        <w:t>:</w:t>
      </w:r>
      <w:r w:rsidRPr="001C0746">
        <w:rPr>
          <w:color w:val="000000" w:themeColor="text1"/>
          <w:sz w:val="16"/>
          <w:szCs w:val="16"/>
        </w:rPr>
        <w:t xml:space="preserve"> 486-489. </w:t>
      </w:r>
    </w:p>
    <w:p w14:paraId="199A9585" w14:textId="77777777" w:rsidR="003D3CFE" w:rsidRPr="001C0746" w:rsidRDefault="003D3CFE" w:rsidP="000F305B">
      <w:pPr>
        <w:pStyle w:val="ListParagraph"/>
        <w:numPr>
          <w:ilvl w:val="0"/>
          <w:numId w:val="4"/>
        </w:numPr>
        <w:rPr>
          <w:rFonts w:cstheme="minorHAnsi"/>
          <w:color w:val="000000" w:themeColor="text1"/>
          <w:sz w:val="16"/>
          <w:szCs w:val="16"/>
        </w:rPr>
      </w:pPr>
      <w:r w:rsidRPr="001C0746">
        <w:rPr>
          <w:rFonts w:cstheme="minorHAnsi"/>
          <w:color w:val="000000" w:themeColor="text1"/>
          <w:sz w:val="16"/>
          <w:szCs w:val="16"/>
          <w:shd w:val="clear" w:color="auto" w:fill="FCFCFC"/>
        </w:rPr>
        <w:t xml:space="preserve">Palumbo A, </w:t>
      </w:r>
      <w:proofErr w:type="spellStart"/>
      <w:r w:rsidRPr="001C0746">
        <w:rPr>
          <w:rFonts w:cstheme="minorHAnsi"/>
          <w:color w:val="000000" w:themeColor="text1"/>
          <w:sz w:val="16"/>
          <w:szCs w:val="16"/>
          <w:shd w:val="clear" w:color="auto" w:fill="FCFCFC"/>
        </w:rPr>
        <w:t>Bringhen</w:t>
      </w:r>
      <w:proofErr w:type="spellEnd"/>
      <w:r w:rsidRPr="001C0746">
        <w:rPr>
          <w:rFonts w:cstheme="minorHAnsi"/>
          <w:color w:val="000000" w:themeColor="text1"/>
          <w:sz w:val="16"/>
          <w:szCs w:val="16"/>
          <w:shd w:val="clear" w:color="auto" w:fill="FCFCFC"/>
        </w:rPr>
        <w:t xml:space="preserve"> S, </w:t>
      </w:r>
      <w:proofErr w:type="spellStart"/>
      <w:r w:rsidRPr="001C0746">
        <w:rPr>
          <w:rFonts w:cstheme="minorHAnsi"/>
          <w:color w:val="000000" w:themeColor="text1"/>
          <w:sz w:val="16"/>
          <w:szCs w:val="16"/>
          <w:shd w:val="clear" w:color="auto" w:fill="FCFCFC"/>
        </w:rPr>
        <w:t>Mateos</w:t>
      </w:r>
      <w:proofErr w:type="spellEnd"/>
      <w:r w:rsidRPr="001C0746">
        <w:rPr>
          <w:rFonts w:cstheme="minorHAnsi"/>
          <w:color w:val="000000" w:themeColor="text1"/>
          <w:sz w:val="16"/>
          <w:szCs w:val="16"/>
          <w:shd w:val="clear" w:color="auto" w:fill="FCFCFC"/>
        </w:rPr>
        <w:t xml:space="preserve"> MV, </w:t>
      </w:r>
      <w:proofErr w:type="spellStart"/>
      <w:r w:rsidRPr="001C0746">
        <w:rPr>
          <w:rFonts w:cstheme="minorHAnsi"/>
          <w:color w:val="000000" w:themeColor="text1"/>
          <w:sz w:val="16"/>
          <w:szCs w:val="16"/>
          <w:shd w:val="clear" w:color="auto" w:fill="FCFCFC"/>
        </w:rPr>
        <w:t>Larocca</w:t>
      </w:r>
      <w:proofErr w:type="spellEnd"/>
      <w:r w:rsidRPr="001C0746">
        <w:rPr>
          <w:rFonts w:cstheme="minorHAnsi"/>
          <w:color w:val="000000" w:themeColor="text1"/>
          <w:sz w:val="16"/>
          <w:szCs w:val="16"/>
          <w:shd w:val="clear" w:color="auto" w:fill="FCFCFC"/>
        </w:rPr>
        <w:t xml:space="preserve"> A, </w:t>
      </w:r>
      <w:proofErr w:type="spellStart"/>
      <w:r w:rsidRPr="001C0746">
        <w:rPr>
          <w:rFonts w:cstheme="minorHAnsi"/>
          <w:color w:val="000000" w:themeColor="text1"/>
          <w:sz w:val="16"/>
          <w:szCs w:val="16"/>
          <w:shd w:val="clear" w:color="auto" w:fill="FCFCFC"/>
        </w:rPr>
        <w:t>Facon</w:t>
      </w:r>
      <w:proofErr w:type="spellEnd"/>
      <w:r w:rsidRPr="001C0746">
        <w:rPr>
          <w:rFonts w:cstheme="minorHAnsi"/>
          <w:color w:val="000000" w:themeColor="text1"/>
          <w:sz w:val="16"/>
          <w:szCs w:val="16"/>
          <w:shd w:val="clear" w:color="auto" w:fill="FCFCFC"/>
        </w:rPr>
        <w:t xml:space="preserve"> T, Kumar SK, et al. </w:t>
      </w:r>
      <w:r w:rsidR="0080691C">
        <w:rPr>
          <w:rFonts w:cstheme="minorHAnsi"/>
          <w:color w:val="000000" w:themeColor="text1"/>
          <w:sz w:val="16"/>
          <w:szCs w:val="16"/>
          <w:shd w:val="clear" w:color="auto" w:fill="FCFCFC"/>
        </w:rPr>
        <w:t xml:space="preserve">(2015). </w:t>
      </w:r>
      <w:r w:rsidRPr="001C0746">
        <w:rPr>
          <w:rFonts w:cstheme="minorHAnsi"/>
          <w:color w:val="000000" w:themeColor="text1"/>
          <w:sz w:val="16"/>
          <w:szCs w:val="16"/>
          <w:shd w:val="clear" w:color="auto" w:fill="FCFCFC"/>
        </w:rPr>
        <w:t xml:space="preserve">Geriatric assessment predicts survival and toxicities in elderly myeloma patients: </w:t>
      </w:r>
      <w:proofErr w:type="gramStart"/>
      <w:r w:rsidRPr="001C0746">
        <w:rPr>
          <w:rFonts w:cstheme="minorHAnsi"/>
          <w:color w:val="000000" w:themeColor="text1"/>
          <w:sz w:val="16"/>
          <w:szCs w:val="16"/>
          <w:shd w:val="clear" w:color="auto" w:fill="FCFCFC"/>
        </w:rPr>
        <w:t>an</w:t>
      </w:r>
      <w:proofErr w:type="gramEnd"/>
      <w:r w:rsidRPr="001C0746">
        <w:rPr>
          <w:rFonts w:cstheme="minorHAnsi"/>
          <w:color w:val="000000" w:themeColor="text1"/>
          <w:sz w:val="16"/>
          <w:szCs w:val="16"/>
          <w:shd w:val="clear" w:color="auto" w:fill="FCFCFC"/>
        </w:rPr>
        <w:t xml:space="preserve"> International Myeloma Working Group report. </w:t>
      </w:r>
      <w:r w:rsidRPr="0080691C">
        <w:rPr>
          <w:rFonts w:cstheme="minorHAnsi"/>
          <w:color w:val="000000" w:themeColor="text1"/>
          <w:sz w:val="16"/>
          <w:szCs w:val="16"/>
          <w:shd w:val="clear" w:color="auto" w:fill="FCFCFC"/>
        </w:rPr>
        <w:t>Blood</w:t>
      </w:r>
      <w:r w:rsidRPr="001C0746">
        <w:rPr>
          <w:rFonts w:cstheme="minorHAnsi"/>
          <w:color w:val="000000" w:themeColor="text1"/>
          <w:sz w:val="16"/>
          <w:szCs w:val="16"/>
          <w:shd w:val="clear" w:color="auto" w:fill="FCFCFC"/>
        </w:rPr>
        <w:t>. Mar 26;125(13):2068–74.</w:t>
      </w:r>
    </w:p>
    <w:p w14:paraId="5A66DED0" w14:textId="77777777" w:rsidR="000928D5" w:rsidRDefault="000105D7" w:rsidP="000928D5">
      <w:pPr>
        <w:pStyle w:val="ListParagraph"/>
        <w:numPr>
          <w:ilvl w:val="0"/>
          <w:numId w:val="4"/>
        </w:numPr>
        <w:spacing w:after="0"/>
        <w:rPr>
          <w:color w:val="000000" w:themeColor="text1"/>
          <w:sz w:val="16"/>
          <w:szCs w:val="16"/>
        </w:rPr>
      </w:pPr>
      <w:hyperlink r:id="rId12" w:history="1">
        <w:r w:rsidR="00AA403B" w:rsidRPr="001C0746">
          <w:rPr>
            <w:rStyle w:val="Hyperlink"/>
            <w:rFonts w:cstheme="minorHAnsi"/>
            <w:color w:val="000000" w:themeColor="text1"/>
            <w:sz w:val="16"/>
            <w:szCs w:val="16"/>
            <w:u w:val="none"/>
          </w:rPr>
          <w:t>Rockwood</w:t>
        </w:r>
      </w:hyperlink>
      <w:r w:rsidR="00AA403B" w:rsidRPr="001C0746">
        <w:rPr>
          <w:rStyle w:val="authors-list-item"/>
          <w:rFonts w:cstheme="minorHAnsi"/>
          <w:color w:val="000000" w:themeColor="text1"/>
          <w:sz w:val="16"/>
          <w:szCs w:val="16"/>
        </w:rPr>
        <w:t>, K.</w:t>
      </w:r>
      <w:r w:rsidR="00AA403B" w:rsidRPr="001C0746">
        <w:rPr>
          <w:rStyle w:val="comma"/>
          <w:rFonts w:cstheme="minorHAnsi"/>
          <w:color w:val="000000" w:themeColor="text1"/>
          <w:sz w:val="16"/>
          <w:szCs w:val="16"/>
        </w:rPr>
        <w:t>, </w:t>
      </w:r>
      <w:hyperlink r:id="rId13" w:history="1">
        <w:r w:rsidR="00AA403B" w:rsidRPr="001C0746">
          <w:rPr>
            <w:rStyle w:val="Hyperlink"/>
            <w:rFonts w:cstheme="minorHAnsi"/>
            <w:color w:val="000000" w:themeColor="text1"/>
            <w:sz w:val="16"/>
            <w:szCs w:val="16"/>
            <w:u w:val="none"/>
          </w:rPr>
          <w:t>Song</w:t>
        </w:r>
      </w:hyperlink>
      <w:r w:rsidR="00AA403B" w:rsidRPr="001C0746">
        <w:rPr>
          <w:rStyle w:val="authors-list-item"/>
          <w:rFonts w:cstheme="minorHAnsi"/>
          <w:color w:val="000000" w:themeColor="text1"/>
          <w:sz w:val="16"/>
          <w:szCs w:val="16"/>
        </w:rPr>
        <w:t>. X.</w:t>
      </w:r>
      <w:r w:rsidR="00AA403B" w:rsidRPr="001C0746">
        <w:rPr>
          <w:rStyle w:val="comma"/>
          <w:rFonts w:cstheme="minorHAnsi"/>
          <w:color w:val="000000" w:themeColor="text1"/>
          <w:sz w:val="16"/>
          <w:szCs w:val="16"/>
        </w:rPr>
        <w:t>, </w:t>
      </w:r>
      <w:proofErr w:type="spellStart"/>
      <w:r w:rsidR="001F3247">
        <w:fldChar w:fldCharType="begin"/>
      </w:r>
      <w:r w:rsidR="001F3247">
        <w:instrText xml:space="preserve"> HYPERLINK "https://pubmed.ncbi.nlm.nih.gov/?term=MacKnight+C&amp;cauthor_id=16129869" </w:instrText>
      </w:r>
      <w:r w:rsidR="001F3247">
        <w:fldChar w:fldCharType="separate"/>
      </w:r>
      <w:r w:rsidR="00AA403B" w:rsidRPr="001C0746">
        <w:rPr>
          <w:rStyle w:val="Hyperlink"/>
          <w:rFonts w:cstheme="minorHAnsi"/>
          <w:color w:val="000000" w:themeColor="text1"/>
          <w:sz w:val="16"/>
          <w:szCs w:val="16"/>
          <w:u w:val="none"/>
        </w:rPr>
        <w:t>MacKnight</w:t>
      </w:r>
      <w:proofErr w:type="spellEnd"/>
      <w:r w:rsidR="001F3247">
        <w:rPr>
          <w:rStyle w:val="Hyperlink"/>
          <w:rFonts w:cstheme="minorHAnsi"/>
          <w:color w:val="000000" w:themeColor="text1"/>
          <w:sz w:val="16"/>
          <w:szCs w:val="16"/>
          <w:u w:val="none"/>
        </w:rPr>
        <w:fldChar w:fldCharType="end"/>
      </w:r>
      <w:r w:rsidR="00AA403B" w:rsidRPr="001C0746">
        <w:rPr>
          <w:rStyle w:val="authors-list-item"/>
          <w:rFonts w:cstheme="minorHAnsi"/>
          <w:color w:val="000000" w:themeColor="text1"/>
          <w:sz w:val="16"/>
          <w:szCs w:val="16"/>
        </w:rPr>
        <w:t>. C.</w:t>
      </w:r>
      <w:r w:rsidR="00AA403B" w:rsidRPr="001C0746">
        <w:rPr>
          <w:rStyle w:val="comma"/>
          <w:rFonts w:cstheme="minorHAnsi"/>
          <w:color w:val="000000" w:themeColor="text1"/>
          <w:sz w:val="16"/>
          <w:szCs w:val="16"/>
        </w:rPr>
        <w:t>, </w:t>
      </w:r>
      <w:proofErr w:type="spellStart"/>
      <w:r w:rsidR="001F3247">
        <w:fldChar w:fldCharType="begin"/>
      </w:r>
      <w:r w:rsidR="001F3247">
        <w:instrText xml:space="preserve"> HYPERLINK "https://pubmed.ncbi.nlm.nih.gov/?term=Bergman+H&amp;cauthor_id=16129869" </w:instrText>
      </w:r>
      <w:r w:rsidR="001F3247">
        <w:fldChar w:fldCharType="separate"/>
      </w:r>
      <w:r w:rsidR="00AA403B" w:rsidRPr="001C0746">
        <w:rPr>
          <w:rStyle w:val="Hyperlink"/>
          <w:rFonts w:cstheme="minorHAnsi"/>
          <w:color w:val="000000" w:themeColor="text1"/>
          <w:sz w:val="16"/>
          <w:szCs w:val="16"/>
          <w:u w:val="none"/>
        </w:rPr>
        <w:t>Bergman</w:t>
      </w:r>
      <w:r w:rsidR="001F3247">
        <w:rPr>
          <w:rStyle w:val="Hyperlink"/>
          <w:rFonts w:cstheme="minorHAnsi"/>
          <w:color w:val="000000" w:themeColor="text1"/>
          <w:sz w:val="16"/>
          <w:szCs w:val="16"/>
          <w:u w:val="none"/>
        </w:rPr>
        <w:fldChar w:fldCharType="end"/>
      </w:r>
      <w:r w:rsidR="00AA403B" w:rsidRPr="001C0746">
        <w:rPr>
          <w:rStyle w:val="authors-list-item"/>
          <w:rFonts w:cstheme="minorHAnsi"/>
          <w:color w:val="000000" w:themeColor="text1"/>
          <w:sz w:val="16"/>
          <w:szCs w:val="16"/>
        </w:rPr>
        <w:t>.H</w:t>
      </w:r>
      <w:proofErr w:type="spellEnd"/>
      <w:r w:rsidR="00AA403B" w:rsidRPr="001C0746">
        <w:rPr>
          <w:rStyle w:val="authors-list-item"/>
          <w:rFonts w:cstheme="minorHAnsi"/>
          <w:color w:val="000000" w:themeColor="text1"/>
          <w:sz w:val="16"/>
          <w:szCs w:val="16"/>
        </w:rPr>
        <w:t>.</w:t>
      </w:r>
      <w:r w:rsidR="00AA403B" w:rsidRPr="001C0746">
        <w:rPr>
          <w:rStyle w:val="comma"/>
          <w:rFonts w:cstheme="minorHAnsi"/>
          <w:color w:val="000000" w:themeColor="text1"/>
          <w:sz w:val="16"/>
          <w:szCs w:val="16"/>
        </w:rPr>
        <w:t>,</w:t>
      </w:r>
      <w:hyperlink r:id="rId14" w:history="1">
        <w:r w:rsidR="00AA403B" w:rsidRPr="001C0746">
          <w:rPr>
            <w:rStyle w:val="Hyperlink"/>
            <w:rFonts w:cstheme="minorHAnsi"/>
            <w:color w:val="000000" w:themeColor="text1"/>
            <w:sz w:val="16"/>
            <w:szCs w:val="16"/>
            <w:u w:val="none"/>
          </w:rPr>
          <w:t xml:space="preserve"> Hogan</w:t>
        </w:r>
      </w:hyperlink>
      <w:r w:rsidR="00AA403B" w:rsidRPr="001C0746">
        <w:rPr>
          <w:rStyle w:val="authors-list-item"/>
          <w:rFonts w:cstheme="minorHAnsi"/>
          <w:color w:val="000000" w:themeColor="text1"/>
          <w:sz w:val="16"/>
          <w:szCs w:val="16"/>
        </w:rPr>
        <w:t>. D.</w:t>
      </w:r>
      <w:r w:rsidR="00AA403B" w:rsidRPr="001C0746">
        <w:rPr>
          <w:rStyle w:val="comma"/>
          <w:rFonts w:cstheme="minorHAnsi"/>
          <w:color w:val="000000" w:themeColor="text1"/>
          <w:sz w:val="16"/>
          <w:szCs w:val="16"/>
        </w:rPr>
        <w:t>, </w:t>
      </w:r>
      <w:hyperlink r:id="rId15" w:history="1">
        <w:r w:rsidR="00AA403B" w:rsidRPr="001C0746">
          <w:rPr>
            <w:rStyle w:val="Hyperlink"/>
            <w:rFonts w:cstheme="minorHAnsi"/>
            <w:color w:val="000000" w:themeColor="text1"/>
            <w:sz w:val="16"/>
            <w:szCs w:val="16"/>
            <w:u w:val="none"/>
          </w:rPr>
          <w:t>McDowell</w:t>
        </w:r>
      </w:hyperlink>
      <w:r w:rsidR="00AA403B" w:rsidRPr="001C0746">
        <w:rPr>
          <w:rStyle w:val="authors-list-item"/>
          <w:rFonts w:cstheme="minorHAnsi"/>
          <w:color w:val="000000" w:themeColor="text1"/>
          <w:sz w:val="16"/>
          <w:szCs w:val="16"/>
        </w:rPr>
        <w:t>. I.</w:t>
      </w:r>
      <w:r w:rsidR="00AA403B" w:rsidRPr="001C0746">
        <w:rPr>
          <w:rStyle w:val="comma"/>
          <w:rFonts w:cstheme="minorHAnsi"/>
          <w:color w:val="000000" w:themeColor="text1"/>
          <w:sz w:val="16"/>
          <w:szCs w:val="16"/>
        </w:rPr>
        <w:t>, and</w:t>
      </w:r>
      <w:hyperlink r:id="rId16" w:history="1">
        <w:r w:rsidR="00AA403B" w:rsidRPr="001C0746">
          <w:rPr>
            <w:rStyle w:val="Hyperlink"/>
            <w:rFonts w:cstheme="minorHAnsi"/>
            <w:color w:val="000000" w:themeColor="text1"/>
            <w:sz w:val="16"/>
            <w:szCs w:val="16"/>
            <w:u w:val="none"/>
          </w:rPr>
          <w:t xml:space="preserve"> </w:t>
        </w:r>
        <w:proofErr w:type="spellStart"/>
        <w:r w:rsidR="00AA403B" w:rsidRPr="001C0746">
          <w:rPr>
            <w:rStyle w:val="Hyperlink"/>
            <w:rFonts w:cstheme="minorHAnsi"/>
            <w:color w:val="000000" w:themeColor="text1"/>
            <w:sz w:val="16"/>
            <w:szCs w:val="16"/>
            <w:u w:val="none"/>
          </w:rPr>
          <w:t>Mitnitski</w:t>
        </w:r>
        <w:proofErr w:type="spellEnd"/>
      </w:hyperlink>
      <w:r w:rsidR="00AA403B" w:rsidRPr="001C0746">
        <w:rPr>
          <w:rStyle w:val="authors-list-item"/>
          <w:rFonts w:cstheme="minorHAnsi"/>
          <w:color w:val="000000" w:themeColor="text1"/>
          <w:sz w:val="16"/>
          <w:szCs w:val="16"/>
        </w:rPr>
        <w:t>. A</w:t>
      </w:r>
      <w:r w:rsidR="000928D5" w:rsidRPr="001C0746">
        <w:rPr>
          <w:rFonts w:cstheme="minorHAnsi"/>
          <w:color w:val="000000" w:themeColor="text1"/>
          <w:sz w:val="16"/>
          <w:szCs w:val="16"/>
        </w:rPr>
        <w:t>.</w:t>
      </w:r>
      <w:r w:rsidR="000928D5" w:rsidRPr="001C0746">
        <w:rPr>
          <w:color w:val="000000" w:themeColor="text1"/>
          <w:sz w:val="16"/>
          <w:szCs w:val="16"/>
        </w:rPr>
        <w:t xml:space="preserve"> </w:t>
      </w:r>
      <w:r w:rsidR="0080691C">
        <w:rPr>
          <w:color w:val="000000" w:themeColor="text1"/>
          <w:sz w:val="16"/>
          <w:szCs w:val="16"/>
        </w:rPr>
        <w:t xml:space="preserve">(2005). </w:t>
      </w:r>
      <w:r w:rsidR="000928D5" w:rsidRPr="0080691C">
        <w:rPr>
          <w:iCs/>
          <w:color w:val="000000" w:themeColor="text1"/>
          <w:sz w:val="16"/>
          <w:szCs w:val="16"/>
        </w:rPr>
        <w:t>A Global clinical measure of fitness and frailty in elderly people</w:t>
      </w:r>
      <w:r w:rsidR="000928D5" w:rsidRPr="001C0746">
        <w:rPr>
          <w:i/>
          <w:color w:val="000000" w:themeColor="text1"/>
          <w:sz w:val="16"/>
          <w:szCs w:val="16"/>
        </w:rPr>
        <w:t xml:space="preserve">. </w:t>
      </w:r>
      <w:r w:rsidR="000928D5" w:rsidRPr="0080691C">
        <w:rPr>
          <w:i/>
          <w:iCs/>
          <w:color w:val="000000" w:themeColor="text1"/>
          <w:sz w:val="16"/>
          <w:szCs w:val="16"/>
        </w:rPr>
        <w:t>CMAJ</w:t>
      </w:r>
      <w:r w:rsidR="000928D5" w:rsidRPr="001C0746">
        <w:rPr>
          <w:color w:val="000000" w:themeColor="text1"/>
          <w:sz w:val="16"/>
          <w:szCs w:val="16"/>
        </w:rPr>
        <w:t>. 173 (5)</w:t>
      </w:r>
      <w:r w:rsidR="0080691C">
        <w:rPr>
          <w:color w:val="000000" w:themeColor="text1"/>
          <w:sz w:val="16"/>
          <w:szCs w:val="16"/>
        </w:rPr>
        <w:t>:</w:t>
      </w:r>
      <w:r w:rsidR="000928D5" w:rsidRPr="001C0746">
        <w:rPr>
          <w:color w:val="000000" w:themeColor="text1"/>
          <w:sz w:val="16"/>
          <w:szCs w:val="16"/>
        </w:rPr>
        <w:t>489-495</w:t>
      </w:r>
    </w:p>
    <w:p w14:paraId="377EC70D" w14:textId="77777777" w:rsidR="00B43C3E" w:rsidRPr="00B43C3E" w:rsidRDefault="00B43C3E" w:rsidP="00B43C3E">
      <w:pPr>
        <w:pStyle w:val="ListParagraph"/>
        <w:numPr>
          <w:ilvl w:val="0"/>
          <w:numId w:val="4"/>
        </w:numPr>
        <w:rPr>
          <w:rFonts w:cstheme="minorHAnsi"/>
          <w:sz w:val="16"/>
          <w:szCs w:val="16"/>
        </w:rPr>
      </w:pPr>
      <w:proofErr w:type="spellStart"/>
      <w:r w:rsidRPr="00B43C3E">
        <w:rPr>
          <w:rFonts w:cstheme="minorHAnsi"/>
          <w:sz w:val="16"/>
          <w:szCs w:val="16"/>
        </w:rPr>
        <w:t>Terpos</w:t>
      </w:r>
      <w:proofErr w:type="spellEnd"/>
      <w:r w:rsidRPr="00B43C3E">
        <w:rPr>
          <w:rFonts w:cstheme="minorHAnsi"/>
          <w:sz w:val="16"/>
          <w:szCs w:val="16"/>
        </w:rPr>
        <w:t xml:space="preserve">, E., Kleber, M., Engelhardt, M et al (2015). European Myeloma Network Guidelines for the Management of Multiple Myeloma-related Complications. </w:t>
      </w:r>
      <w:proofErr w:type="spellStart"/>
      <w:r w:rsidRPr="00B43C3E">
        <w:rPr>
          <w:rFonts w:cstheme="minorHAnsi"/>
          <w:i/>
          <w:sz w:val="16"/>
          <w:szCs w:val="16"/>
        </w:rPr>
        <w:t>Haematologica</w:t>
      </w:r>
      <w:proofErr w:type="spellEnd"/>
      <w:r w:rsidRPr="00B43C3E">
        <w:rPr>
          <w:rFonts w:cstheme="minorHAnsi"/>
          <w:sz w:val="16"/>
          <w:szCs w:val="16"/>
        </w:rPr>
        <w:t xml:space="preserve"> 100(10): 12541266</w:t>
      </w:r>
    </w:p>
    <w:p w14:paraId="15A7105F" w14:textId="77777777" w:rsidR="00B43C3E" w:rsidRPr="00B43C3E" w:rsidRDefault="00B43C3E" w:rsidP="00B43C3E">
      <w:pPr>
        <w:spacing w:after="0"/>
        <w:ind w:left="360"/>
        <w:rPr>
          <w:color w:val="000000" w:themeColor="text1"/>
          <w:sz w:val="16"/>
          <w:szCs w:val="16"/>
        </w:rPr>
      </w:pPr>
    </w:p>
    <w:p w14:paraId="452BCD66" w14:textId="77777777" w:rsidR="000928D5" w:rsidRPr="008D5D51" w:rsidRDefault="000928D5" w:rsidP="000928D5">
      <w:pPr>
        <w:pStyle w:val="ListParagraph"/>
        <w:spacing w:after="0"/>
      </w:pPr>
    </w:p>
    <w:p w14:paraId="4C6644AC" w14:textId="77777777" w:rsidR="000105D7" w:rsidRDefault="000105D7"/>
    <w:sectPr w:rsidR="000105D7" w:rsidSect="00E30BC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70A54A7"/>
    <w:multiLevelType w:val="hybridMultilevel"/>
    <w:tmpl w:val="6834FE60"/>
    <w:lvl w:ilvl="0" w:tplc="0C09000F">
      <w:start w:val="1"/>
      <w:numFmt w:val="decimal"/>
      <w:lvlText w:val="%1."/>
      <w:lvlJc w:val="left"/>
      <w:pPr>
        <w:ind w:left="720" w:hanging="360"/>
      </w:pPr>
      <w:rPr>
        <w:rFonts w:hint="default"/>
        <w:i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370A311F"/>
    <w:multiLevelType w:val="hybridMultilevel"/>
    <w:tmpl w:val="49A481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15C3B65"/>
    <w:multiLevelType w:val="hybridMultilevel"/>
    <w:tmpl w:val="C458DF24"/>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634D4366"/>
    <w:multiLevelType w:val="hybridMultilevel"/>
    <w:tmpl w:val="75804F6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4" w15:restartNumberingAfterBreak="0">
    <w:nsid w:val="6CC45CCA"/>
    <w:multiLevelType w:val="hybridMultilevel"/>
    <w:tmpl w:val="769EFD36"/>
    <w:lvl w:ilvl="0" w:tplc="AE6CF39E">
      <w:start w:val="13"/>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36B1E2B"/>
    <w:multiLevelType w:val="hybridMultilevel"/>
    <w:tmpl w:val="1096A1D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CA5"/>
    <w:rsid w:val="000105D7"/>
    <w:rsid w:val="00036470"/>
    <w:rsid w:val="000364D8"/>
    <w:rsid w:val="00043E59"/>
    <w:rsid w:val="0005662A"/>
    <w:rsid w:val="00073D00"/>
    <w:rsid w:val="00085992"/>
    <w:rsid w:val="00090F63"/>
    <w:rsid w:val="000928D5"/>
    <w:rsid w:val="000F305B"/>
    <w:rsid w:val="00120174"/>
    <w:rsid w:val="0012743E"/>
    <w:rsid w:val="0016027E"/>
    <w:rsid w:val="001A49E0"/>
    <w:rsid w:val="001B682D"/>
    <w:rsid w:val="001C0746"/>
    <w:rsid w:val="001F07B6"/>
    <w:rsid w:val="001F3247"/>
    <w:rsid w:val="002267C3"/>
    <w:rsid w:val="002457CA"/>
    <w:rsid w:val="002629D6"/>
    <w:rsid w:val="00273214"/>
    <w:rsid w:val="002C1A17"/>
    <w:rsid w:val="002E21DB"/>
    <w:rsid w:val="00342513"/>
    <w:rsid w:val="00342BF5"/>
    <w:rsid w:val="003437C3"/>
    <w:rsid w:val="00351C7A"/>
    <w:rsid w:val="00353E17"/>
    <w:rsid w:val="0036248A"/>
    <w:rsid w:val="003B6DCA"/>
    <w:rsid w:val="003D3CFE"/>
    <w:rsid w:val="003D7B07"/>
    <w:rsid w:val="003E3DE9"/>
    <w:rsid w:val="00406B76"/>
    <w:rsid w:val="004721C4"/>
    <w:rsid w:val="0048750D"/>
    <w:rsid w:val="004B0766"/>
    <w:rsid w:val="004C0CA5"/>
    <w:rsid w:val="005025F1"/>
    <w:rsid w:val="005630EF"/>
    <w:rsid w:val="0058596F"/>
    <w:rsid w:val="005A199F"/>
    <w:rsid w:val="005B1507"/>
    <w:rsid w:val="005D1AE6"/>
    <w:rsid w:val="005E072F"/>
    <w:rsid w:val="005E1D46"/>
    <w:rsid w:val="005E47DD"/>
    <w:rsid w:val="005F1F02"/>
    <w:rsid w:val="00624B5E"/>
    <w:rsid w:val="0063327F"/>
    <w:rsid w:val="00667D03"/>
    <w:rsid w:val="00692F6D"/>
    <w:rsid w:val="00696CB5"/>
    <w:rsid w:val="006B3934"/>
    <w:rsid w:val="006B4EE9"/>
    <w:rsid w:val="006D2725"/>
    <w:rsid w:val="0071176B"/>
    <w:rsid w:val="0074206C"/>
    <w:rsid w:val="007771A4"/>
    <w:rsid w:val="007A5065"/>
    <w:rsid w:val="007B3466"/>
    <w:rsid w:val="007D3C18"/>
    <w:rsid w:val="007F1F48"/>
    <w:rsid w:val="0080691C"/>
    <w:rsid w:val="00844A99"/>
    <w:rsid w:val="00850CDF"/>
    <w:rsid w:val="00876506"/>
    <w:rsid w:val="008810DB"/>
    <w:rsid w:val="008B45BF"/>
    <w:rsid w:val="00997B7B"/>
    <w:rsid w:val="009A6B37"/>
    <w:rsid w:val="009D3ABF"/>
    <w:rsid w:val="009E3543"/>
    <w:rsid w:val="00A6492E"/>
    <w:rsid w:val="00A72A2D"/>
    <w:rsid w:val="00A77F75"/>
    <w:rsid w:val="00AA403B"/>
    <w:rsid w:val="00AC17D5"/>
    <w:rsid w:val="00AC5A30"/>
    <w:rsid w:val="00AE3E64"/>
    <w:rsid w:val="00B0590A"/>
    <w:rsid w:val="00B179AA"/>
    <w:rsid w:val="00B31233"/>
    <w:rsid w:val="00B33481"/>
    <w:rsid w:val="00B43C3E"/>
    <w:rsid w:val="00B5279C"/>
    <w:rsid w:val="00B6004E"/>
    <w:rsid w:val="00B8148B"/>
    <w:rsid w:val="00B844F4"/>
    <w:rsid w:val="00BA2628"/>
    <w:rsid w:val="00BB48A6"/>
    <w:rsid w:val="00BB6A13"/>
    <w:rsid w:val="00BE504E"/>
    <w:rsid w:val="00C70A3F"/>
    <w:rsid w:val="00C73278"/>
    <w:rsid w:val="00D41DB5"/>
    <w:rsid w:val="00D42FBE"/>
    <w:rsid w:val="00DD7F1D"/>
    <w:rsid w:val="00E1352B"/>
    <w:rsid w:val="00E30BCC"/>
    <w:rsid w:val="00E6288D"/>
    <w:rsid w:val="00F01179"/>
    <w:rsid w:val="00F22F6B"/>
    <w:rsid w:val="00F50145"/>
    <w:rsid w:val="00FA7378"/>
    <w:rsid w:val="00FB0A11"/>
    <w:rsid w:val="00FB6BC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F14EA"/>
  <w15:chartTrackingRefBased/>
  <w15:docId w15:val="{6CC64B46-E30A-4CF3-A209-AD3444643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0CA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0CA5"/>
    <w:pPr>
      <w:ind w:left="720"/>
      <w:contextualSpacing/>
    </w:pPr>
  </w:style>
  <w:style w:type="character" w:styleId="Hyperlink">
    <w:name w:val="Hyperlink"/>
    <w:basedOn w:val="DefaultParagraphFont"/>
    <w:uiPriority w:val="99"/>
    <w:unhideWhenUsed/>
    <w:rsid w:val="000928D5"/>
    <w:rPr>
      <w:color w:val="0563C1" w:themeColor="hyperlink"/>
      <w:u w:val="single"/>
    </w:rPr>
  </w:style>
  <w:style w:type="character" w:customStyle="1" w:styleId="UnresolvedMention1">
    <w:name w:val="Unresolved Mention1"/>
    <w:basedOn w:val="DefaultParagraphFont"/>
    <w:uiPriority w:val="99"/>
    <w:semiHidden/>
    <w:unhideWhenUsed/>
    <w:rsid w:val="000928D5"/>
    <w:rPr>
      <w:color w:val="808080"/>
      <w:shd w:val="clear" w:color="auto" w:fill="E6E6E6"/>
    </w:rPr>
  </w:style>
  <w:style w:type="table" w:styleId="TableGrid">
    <w:name w:val="Table Grid"/>
    <w:basedOn w:val="TableNormal"/>
    <w:uiPriority w:val="39"/>
    <w:rsid w:val="003D3C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s-list-item">
    <w:name w:val="authors-list-item"/>
    <w:basedOn w:val="DefaultParagraphFont"/>
    <w:rsid w:val="00AA403B"/>
  </w:style>
  <w:style w:type="character" w:customStyle="1" w:styleId="author-sup-separator">
    <w:name w:val="author-sup-separator"/>
    <w:basedOn w:val="DefaultParagraphFont"/>
    <w:rsid w:val="00AA403B"/>
  </w:style>
  <w:style w:type="character" w:customStyle="1" w:styleId="comma">
    <w:name w:val="comma"/>
    <w:basedOn w:val="DefaultParagraphFont"/>
    <w:rsid w:val="00AA403B"/>
  </w:style>
  <w:style w:type="character" w:styleId="Emphasis">
    <w:name w:val="Emphasis"/>
    <w:basedOn w:val="DefaultParagraphFont"/>
    <w:uiPriority w:val="20"/>
    <w:qFormat/>
    <w:rsid w:val="0012743E"/>
    <w:rPr>
      <w:i/>
      <w:iCs/>
    </w:rPr>
  </w:style>
  <w:style w:type="paragraph" w:styleId="BalloonText">
    <w:name w:val="Balloon Text"/>
    <w:basedOn w:val="Normal"/>
    <w:link w:val="BalloonTextChar"/>
    <w:uiPriority w:val="99"/>
    <w:semiHidden/>
    <w:unhideWhenUsed/>
    <w:rsid w:val="007A506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5065"/>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1C0746"/>
    <w:rPr>
      <w:color w:val="954F72" w:themeColor="followedHyperlink"/>
      <w:u w:val="single"/>
    </w:rPr>
  </w:style>
  <w:style w:type="paragraph" w:styleId="NormalWeb">
    <w:name w:val="Normal (Web)"/>
    <w:basedOn w:val="Normal"/>
    <w:uiPriority w:val="99"/>
    <w:semiHidden/>
    <w:unhideWhenUsed/>
    <w:rsid w:val="001B682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E1352B"/>
    <w:rPr>
      <w:sz w:val="16"/>
      <w:szCs w:val="16"/>
    </w:rPr>
  </w:style>
  <w:style w:type="paragraph" w:styleId="CommentText">
    <w:name w:val="annotation text"/>
    <w:basedOn w:val="Normal"/>
    <w:link w:val="CommentTextChar"/>
    <w:uiPriority w:val="99"/>
    <w:semiHidden/>
    <w:unhideWhenUsed/>
    <w:rsid w:val="00E1352B"/>
    <w:pPr>
      <w:spacing w:line="240" w:lineRule="auto"/>
    </w:pPr>
    <w:rPr>
      <w:sz w:val="20"/>
      <w:szCs w:val="20"/>
    </w:rPr>
  </w:style>
  <w:style w:type="character" w:customStyle="1" w:styleId="CommentTextChar">
    <w:name w:val="Comment Text Char"/>
    <w:basedOn w:val="DefaultParagraphFont"/>
    <w:link w:val="CommentText"/>
    <w:uiPriority w:val="99"/>
    <w:semiHidden/>
    <w:rsid w:val="00E1352B"/>
    <w:rPr>
      <w:sz w:val="20"/>
      <w:szCs w:val="20"/>
    </w:rPr>
  </w:style>
  <w:style w:type="paragraph" w:styleId="CommentSubject">
    <w:name w:val="annotation subject"/>
    <w:basedOn w:val="CommentText"/>
    <w:next w:val="CommentText"/>
    <w:link w:val="CommentSubjectChar"/>
    <w:uiPriority w:val="99"/>
    <w:semiHidden/>
    <w:unhideWhenUsed/>
    <w:rsid w:val="00E1352B"/>
    <w:rPr>
      <w:b/>
      <w:bCs/>
    </w:rPr>
  </w:style>
  <w:style w:type="character" w:customStyle="1" w:styleId="CommentSubjectChar">
    <w:name w:val="Comment Subject Char"/>
    <w:basedOn w:val="CommentTextChar"/>
    <w:link w:val="CommentSubject"/>
    <w:uiPriority w:val="99"/>
    <w:semiHidden/>
    <w:rsid w:val="00E135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9488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lomacomorbidityindex.org" TargetMode="External"/><Relationship Id="rId13" Type="http://schemas.openxmlformats.org/officeDocument/2006/relationships/hyperlink" Target="https://pubmed.ncbi.nlm.nih.gov/?term=Song+X&amp;cauthor_id=16129869"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mdcalc.com/charlson-comorbidity-index-cci" TargetMode="External"/><Relationship Id="rId12" Type="http://schemas.openxmlformats.org/officeDocument/2006/relationships/hyperlink" Target="https://pubmed.ncbi.nlm.nih.gov/?term=Rockwood+K&amp;cauthor_id=16129869"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ubmed.ncbi.nlm.nih.gov/?term=Mitnitski+A&amp;cauthor_id=16129869" TargetMode="External"/><Relationship Id="rId1" Type="http://schemas.openxmlformats.org/officeDocument/2006/relationships/customXml" Target="../customXml/item1.xml"/><Relationship Id="rId6" Type="http://schemas.openxmlformats.org/officeDocument/2006/relationships/hyperlink" Target="http://www.myelomafrailtyscorecalculator.net" TargetMode="External"/><Relationship Id="rId11" Type="http://schemas.openxmlformats.org/officeDocument/2006/relationships/hyperlink" Target="https://myeloma.org.au/wp-content/uploads/2019/10/myeloma_clinical_practice_guideline_oct19.pdf" TargetMode="External"/><Relationship Id="rId5" Type="http://schemas.openxmlformats.org/officeDocument/2006/relationships/webSettings" Target="webSettings.xml"/><Relationship Id="rId15" Type="http://schemas.openxmlformats.org/officeDocument/2006/relationships/hyperlink" Target="https://pubmed.ncbi.nlm.nih.gov/?term=McDowell+I&amp;cauthor_id=16129869" TargetMode="External"/><Relationship Id="rId10" Type="http://schemas.openxmlformats.org/officeDocument/2006/relationships/hyperlink" Target="https://onlinelibrary.wiley.com/doi/abs/10.1002/ajh.25797" TargetMode="External"/><Relationship Id="rId4" Type="http://schemas.openxmlformats.org/officeDocument/2006/relationships/settings" Target="settings.xml"/><Relationship Id="rId9" Type="http://schemas.openxmlformats.org/officeDocument/2006/relationships/hyperlink" Target="https://www.aihw.gov.au/getmedia/f4f2b22f-8189-4c51-9e2a-66384cbca683/aihw-can-126.pdf.aspx?inline=true" TargetMode="External"/><Relationship Id="rId14" Type="http://schemas.openxmlformats.org/officeDocument/2006/relationships/hyperlink" Target="https://pubmed.ncbi.nlm.nih.gov/?term=Hogan+DB&amp;cauthor_id=1612986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B2A726-8077-492C-96F4-E27BBA298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2416</Words>
  <Characters>13772</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Snowden</dc:creator>
  <cp:keywords/>
  <dc:description/>
  <cp:lastModifiedBy>HS ANZ</cp:lastModifiedBy>
  <cp:revision>4</cp:revision>
  <dcterms:created xsi:type="dcterms:W3CDTF">2020-11-25T02:56:00Z</dcterms:created>
  <dcterms:modified xsi:type="dcterms:W3CDTF">2020-11-25T03:33:00Z</dcterms:modified>
</cp:coreProperties>
</file>